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D778" w14:textId="65499B5A" w:rsidR="00CB20E0" w:rsidRDefault="001B21B3" w:rsidP="001B21B3">
      <w:pPr>
        <w:pStyle w:val="af4"/>
      </w:pPr>
      <w:bookmarkStart w:id="0" w:name="_Toc77400782"/>
      <w:bookmarkStart w:id="1" w:name="_Toc89075878"/>
      <w:bookmarkStart w:id="2" w:name="_Toc183582231"/>
      <w:bookmarkStart w:id="3" w:name="_Toc217446056"/>
      <w:bookmarkStart w:id="4" w:name="_Toc183682368"/>
      <w:r>
        <w:rPr>
          <w:rFonts w:hint="eastAsia"/>
        </w:rPr>
        <w:t>等保测评服务公告</w:t>
      </w:r>
    </w:p>
    <w:p w14:paraId="57F4E38B" w14:textId="77777777" w:rsidR="00CB20E0" w:rsidRDefault="003358B6">
      <w:pPr>
        <w:pStyle w:val="af4"/>
        <w:jc w:val="left"/>
      </w:pPr>
      <w:r>
        <w:rPr>
          <w:rFonts w:hint="eastAsia"/>
        </w:rPr>
        <w:t>一、供应商资格要求</w:t>
      </w:r>
    </w:p>
    <w:p w14:paraId="68CA3A3D"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（一）具备《中华人民共和国政府采购法》第二十二条的相关规定：</w:t>
      </w:r>
    </w:p>
    <w:p w14:paraId="312921D5"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（1）具有独立承担民事责任的能力；</w:t>
      </w:r>
    </w:p>
    <w:p w14:paraId="1203C2E5"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（2）具有良好的商业信誉和健全的财务会计制度；</w:t>
      </w:r>
    </w:p>
    <w:p w14:paraId="35588EDA"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（3）具有履行合同所必需的设备和专业技术能力；</w:t>
      </w:r>
    </w:p>
    <w:p w14:paraId="216D1BDC"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（4）有依法缴纳税收和社会保障资金的良好记录；</w:t>
      </w:r>
    </w:p>
    <w:p w14:paraId="71D29884"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（5）参加政府采购活动前三年内，在经营活动中没有重大违法记录；</w:t>
      </w:r>
    </w:p>
    <w:p w14:paraId="3731F8BD"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（6）法律、行政法规规定的其他条件。</w:t>
      </w:r>
    </w:p>
    <w:p w14:paraId="13203D02"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（二）其他类似效力要求</w:t>
      </w:r>
    </w:p>
    <w:p w14:paraId="56D1411A"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（1）本项目参加政府采购活动的供应商及</w:t>
      </w:r>
      <w:r>
        <w:rPr>
          <w:rFonts w:ascii="宋体" w:hint="eastAsia"/>
          <w:color w:val="000000"/>
          <w:kern w:val="0"/>
          <w:sz w:val="24"/>
        </w:rPr>
        <w:t>现任</w:t>
      </w:r>
      <w:r>
        <w:rPr>
          <w:rFonts w:ascii="宋体" w:hAnsi="宋体" w:hint="eastAsia"/>
          <w:color w:val="000000"/>
          <w:kern w:val="0"/>
          <w:sz w:val="24"/>
        </w:rPr>
        <w:t>法定代表人(非法人机构则为主要负责人)不得具有行贿犯罪记录；</w:t>
      </w:r>
    </w:p>
    <w:p w14:paraId="34BB784F"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供应商在采购公告发布之日前未被列入“信用中国”网站（www.creditchina.gov.cn）、“中国政府采购网”网站(www.ccgp.gov.cn)中任一网站的失信被执行人名单或重大税收违法案件当事人名单或政府采购严重违法失信行为记录名单；</w:t>
      </w:r>
    </w:p>
    <w:p w14:paraId="17033DD4" w14:textId="77777777" w:rsidR="00CB20E0" w:rsidRDefault="003358B6">
      <w:pPr>
        <w:widowControl/>
        <w:spacing w:line="276" w:lineRule="auto"/>
        <w:ind w:firstLine="420"/>
        <w:jc w:val="left"/>
        <w:rPr>
          <w:rFonts w:ascii="宋体" w:hAnsi="宋体"/>
          <w:color w:val="000000"/>
          <w:kern w:val="0"/>
          <w:sz w:val="24"/>
        </w:rPr>
      </w:pPr>
      <w:r>
        <w:rPr>
          <w:rFonts w:ascii="宋体" w:hAnsi="宋体" w:cs="仿宋" w:hint="eastAsia"/>
          <w:color w:val="000000"/>
          <w:kern w:val="0"/>
          <w:sz w:val="24"/>
        </w:rPr>
        <w:t>（</w:t>
      </w:r>
      <w:r>
        <w:rPr>
          <w:rFonts w:ascii="宋体" w:hAnsi="宋体"/>
          <w:color w:val="000000"/>
          <w:kern w:val="0"/>
          <w:sz w:val="24"/>
        </w:rPr>
        <w:t>3</w:t>
      </w:r>
      <w:r>
        <w:rPr>
          <w:rFonts w:ascii="宋体" w:hAnsi="宋体" w:hint="eastAsia"/>
          <w:color w:val="000000"/>
          <w:kern w:val="0"/>
          <w:sz w:val="24"/>
        </w:rPr>
        <w:t>）法定代表人授权书原件；</w:t>
      </w:r>
    </w:p>
    <w:p w14:paraId="72679A4C"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）供应商与其他供应商之间，单位负责人不为同一人而且不存在直接控股、管理关系。</w:t>
      </w:r>
    </w:p>
    <w:p w14:paraId="0B973CDD" w14:textId="77777777" w:rsidR="00CB20E0" w:rsidRDefault="003358B6">
      <w:pPr>
        <w:widowControl/>
        <w:tabs>
          <w:tab w:val="left" w:pos="7054"/>
        </w:tabs>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5</w:t>
      </w:r>
      <w:r>
        <w:rPr>
          <w:rFonts w:ascii="宋体" w:hAnsi="宋体" w:hint="eastAsia"/>
          <w:color w:val="000000"/>
          <w:kern w:val="0"/>
          <w:sz w:val="24"/>
        </w:rPr>
        <w:t>）本项目不接受联合体响应。</w:t>
      </w:r>
      <w:r>
        <w:rPr>
          <w:rFonts w:ascii="宋体" w:hAnsi="宋体"/>
          <w:color w:val="000000"/>
          <w:kern w:val="0"/>
          <w:sz w:val="24"/>
        </w:rPr>
        <w:tab/>
      </w:r>
    </w:p>
    <w:p w14:paraId="4406A973" w14:textId="77777777" w:rsidR="00CB20E0" w:rsidRDefault="003358B6">
      <w:pPr>
        <w:autoSpaceDE w:val="0"/>
        <w:autoSpaceDN w:val="0"/>
        <w:rPr>
          <w:rFonts w:ascii="宋体" w:hAnsi="宋体"/>
          <w:color w:val="000000"/>
          <w:kern w:val="0"/>
          <w:sz w:val="24"/>
        </w:rPr>
      </w:pPr>
      <w:r>
        <w:rPr>
          <w:rFonts w:ascii="宋体" w:hAnsi="宋体" w:hint="eastAsia"/>
          <w:color w:val="000000"/>
          <w:kern w:val="0"/>
          <w:sz w:val="24"/>
        </w:rPr>
        <w:t>（三）</w:t>
      </w:r>
      <w:r>
        <w:rPr>
          <w:rFonts w:ascii="仿宋" w:hAnsi="仿宋" w:cs="仿宋" w:hint="eastAsia"/>
          <w:kern w:val="0"/>
          <w:sz w:val="24"/>
          <w:lang w:val="zh-CN" w:bidi="zh-CN"/>
        </w:rPr>
        <w:t>本项目的特定资格要求</w:t>
      </w:r>
    </w:p>
    <w:p w14:paraId="4E9F7F56" w14:textId="090D502D" w:rsidR="00CB20E0" w:rsidRDefault="003358B6">
      <w:pPr>
        <w:autoSpaceDE w:val="0"/>
        <w:autoSpaceDN w:val="0"/>
        <w:ind w:firstLineChars="200" w:firstLine="480"/>
        <w:rPr>
          <w:sz w:val="24"/>
        </w:rPr>
      </w:pPr>
      <w:r>
        <w:rPr>
          <w:sz w:val="24"/>
        </w:rPr>
        <w:t>具有</w:t>
      </w:r>
      <w:r>
        <w:rPr>
          <w:rFonts w:hint="eastAsia"/>
          <w:sz w:val="24"/>
        </w:rPr>
        <w:t>公安部第三研究所颁发的网络安全等级测评与检测评估机构服务认证证书。</w:t>
      </w:r>
    </w:p>
    <w:p w14:paraId="57E4E8EC" w14:textId="77777777" w:rsidR="00CB20E0" w:rsidRDefault="003358B6">
      <w:pPr>
        <w:pStyle w:val="af4"/>
        <w:jc w:val="left"/>
      </w:pPr>
      <w:bookmarkStart w:id="5" w:name="_Toc217446095"/>
      <w:r>
        <w:rPr>
          <w:rFonts w:hint="eastAsia"/>
        </w:rPr>
        <w:t>二、项目概况</w:t>
      </w:r>
    </w:p>
    <w:p w14:paraId="03C8880B" w14:textId="77777777" w:rsidR="00CB20E0" w:rsidRDefault="003358B6">
      <w:pPr>
        <w:rPr>
          <w:sz w:val="24"/>
        </w:rPr>
      </w:pPr>
      <w:r>
        <w:rPr>
          <w:rFonts w:ascii="宋体" w:hAnsi="宋体" w:cs="宋体"/>
          <w:sz w:val="24"/>
        </w:rPr>
        <w:t>1</w:t>
      </w:r>
      <w:r>
        <w:rPr>
          <w:rFonts w:ascii="宋体" w:hAnsi="宋体" w:cs="宋体" w:hint="eastAsia"/>
          <w:sz w:val="24"/>
        </w:rPr>
        <w:t>、项目背景</w:t>
      </w:r>
    </w:p>
    <w:p w14:paraId="3F17CD76" w14:textId="0B17DBD8" w:rsidR="00CB20E0" w:rsidRDefault="003358B6">
      <w:pPr>
        <w:ind w:firstLine="480"/>
        <w:rPr>
          <w:sz w:val="24"/>
        </w:rPr>
      </w:pPr>
      <w:r>
        <w:rPr>
          <w:rFonts w:ascii="宋体" w:hAnsi="宋体" w:cs="宋体" w:hint="eastAsia"/>
          <w:sz w:val="24"/>
        </w:rPr>
        <w:t>为了落实公安部、</w:t>
      </w:r>
      <w:r>
        <w:rPr>
          <w:rFonts w:ascii="宋体" w:hAnsi="宋体" w:cs="宋体" w:hint="eastAsia"/>
          <w:color w:val="000000" w:themeColor="text1"/>
          <w:sz w:val="24"/>
        </w:rPr>
        <w:t>医疗行</w:t>
      </w:r>
      <w:r>
        <w:rPr>
          <w:rFonts w:ascii="宋体" w:hAnsi="宋体" w:cs="宋体" w:hint="eastAsia"/>
          <w:sz w:val="24"/>
        </w:rPr>
        <w:t>业信息系统安全等级保护等文件要求，进一步增强</w:t>
      </w:r>
      <w:r w:rsidR="009D721D">
        <w:rPr>
          <w:rFonts w:hint="eastAsia"/>
          <w:sz w:val="24"/>
        </w:rPr>
        <w:t>医院</w:t>
      </w:r>
      <w:r>
        <w:rPr>
          <w:rFonts w:ascii="宋体" w:hAnsi="宋体" w:cs="宋体" w:hint="eastAsia"/>
          <w:sz w:val="24"/>
        </w:rPr>
        <w:t>信息系统安全防护能力，确保</w:t>
      </w:r>
      <w:r w:rsidR="009D721D">
        <w:rPr>
          <w:rFonts w:hint="eastAsia"/>
          <w:sz w:val="24"/>
        </w:rPr>
        <w:t>医院</w:t>
      </w:r>
      <w:r>
        <w:rPr>
          <w:rFonts w:ascii="宋体" w:hAnsi="宋体" w:cs="宋体" w:hint="eastAsia"/>
          <w:sz w:val="24"/>
        </w:rPr>
        <w:t>信息系统安全稳定运行，特开展此次等级保护测评工作</w:t>
      </w:r>
      <w:r>
        <w:rPr>
          <w:rFonts w:ascii="宋体" w:hAnsi="宋体" w:cs="宋体"/>
          <w:sz w:val="24"/>
        </w:rPr>
        <w:t xml:space="preserve">, </w:t>
      </w:r>
      <w:r>
        <w:rPr>
          <w:rFonts w:ascii="宋体" w:hAnsi="宋体" w:cs="宋体" w:hint="eastAsia"/>
          <w:sz w:val="24"/>
        </w:rPr>
        <w:t>防止因系统安全事件引发安全事故依据《信息系统安全等级保护基本要求》（</w:t>
      </w:r>
      <w:r>
        <w:rPr>
          <w:rFonts w:ascii="宋体" w:hAnsi="宋体" w:cs="宋体"/>
          <w:sz w:val="24"/>
        </w:rPr>
        <w:t>GB/T 22239-2008</w:t>
      </w:r>
      <w:r>
        <w:rPr>
          <w:rFonts w:ascii="宋体" w:hAnsi="宋体" w:cs="宋体" w:hint="eastAsia"/>
          <w:sz w:val="24"/>
        </w:rPr>
        <w:t>）、《信息安全等级保护管理办法》（公通字</w:t>
      </w:r>
      <w:r>
        <w:rPr>
          <w:rFonts w:ascii="宋体" w:hAnsi="宋体" w:cs="宋体"/>
          <w:sz w:val="24"/>
        </w:rPr>
        <w:t>[2007]43</w:t>
      </w:r>
      <w:r>
        <w:rPr>
          <w:rFonts w:ascii="宋体" w:hAnsi="宋体" w:cs="宋体" w:hint="eastAsia"/>
          <w:sz w:val="24"/>
        </w:rPr>
        <w:t>号）和《中华人民共和国网络安全法》等标准规范，特开展此次等级保护测评工作</w:t>
      </w:r>
      <w:r>
        <w:rPr>
          <w:rFonts w:hint="eastAsia"/>
          <w:sz w:val="24"/>
        </w:rPr>
        <w:t>。</w:t>
      </w:r>
    </w:p>
    <w:p w14:paraId="0F31FBF1" w14:textId="77777777" w:rsidR="00CB20E0" w:rsidRDefault="003358B6">
      <w:pPr>
        <w:rPr>
          <w:sz w:val="24"/>
        </w:rPr>
      </w:pPr>
      <w:r>
        <w:rPr>
          <w:rFonts w:ascii="宋体" w:hAnsi="宋体" w:cs="宋体"/>
          <w:sz w:val="24"/>
        </w:rPr>
        <w:t>2</w:t>
      </w:r>
      <w:r>
        <w:rPr>
          <w:rFonts w:ascii="宋体" w:hAnsi="宋体" w:cs="宋体" w:hint="eastAsia"/>
          <w:sz w:val="24"/>
        </w:rPr>
        <w:t>、项目目标</w:t>
      </w:r>
    </w:p>
    <w:p w14:paraId="0B9AF863" w14:textId="44372381" w:rsidR="00CB20E0" w:rsidRDefault="003358B6">
      <w:pPr>
        <w:ind w:firstLine="480"/>
        <w:rPr>
          <w:sz w:val="24"/>
        </w:rPr>
      </w:pPr>
      <w:r>
        <w:rPr>
          <w:rFonts w:hint="eastAsia"/>
          <w:sz w:val="24"/>
        </w:rPr>
        <w:t>依据国家和行业信息安全的相关标准，全面了解和掌握</w:t>
      </w:r>
      <w:r w:rsidR="009D721D">
        <w:rPr>
          <w:rFonts w:hint="eastAsia"/>
          <w:sz w:val="24"/>
        </w:rPr>
        <w:t>医院</w:t>
      </w:r>
      <w:r>
        <w:rPr>
          <w:rFonts w:hint="eastAsia"/>
          <w:sz w:val="24"/>
        </w:rPr>
        <w:t>信息系统现有安全状况，找出其与《信息系统安全等级保护基本要求》对应级别的差距，及时发现系统存在的安全问题，针对等级保护测评及</w:t>
      </w:r>
      <w:r w:rsidR="009D721D">
        <w:rPr>
          <w:rFonts w:hint="eastAsia"/>
          <w:sz w:val="24"/>
        </w:rPr>
        <w:t>德阳市旌阳区中医院</w:t>
      </w:r>
      <w:r>
        <w:rPr>
          <w:rFonts w:hint="eastAsia"/>
          <w:sz w:val="24"/>
        </w:rPr>
        <w:t>信息系统安全评估中发现的各种安全风险，测评项目组提出适宜的安全整改建议，最终提交该系统等级保护测评报告。</w:t>
      </w:r>
    </w:p>
    <w:p w14:paraId="5337AB68" w14:textId="5CDFCAB2" w:rsidR="00CB20E0" w:rsidRDefault="003358B6">
      <w:pPr>
        <w:pStyle w:val="af4"/>
        <w:jc w:val="left"/>
      </w:pPr>
      <w:bookmarkStart w:id="6" w:name="_Toc510825821"/>
      <w:r>
        <w:rPr>
          <w:rFonts w:hint="eastAsia"/>
        </w:rPr>
        <w:lastRenderedPageBreak/>
        <w:t>三、</w:t>
      </w:r>
      <w:r>
        <w:t>服务内容及范围</w:t>
      </w:r>
    </w:p>
    <w:p w14:paraId="19B78C86" w14:textId="77777777" w:rsidR="00CB20E0" w:rsidRDefault="003358B6">
      <w:pPr>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color w:val="000000" w:themeColor="text1"/>
          <w:kern w:val="0"/>
          <w:sz w:val="24"/>
        </w:rPr>
        <w:t>等级保护测评服务</w:t>
      </w:r>
      <w:r>
        <w:rPr>
          <w:rFonts w:asciiTheme="minorEastAsia" w:eastAsiaTheme="minorEastAsia" w:hAnsiTheme="minorEastAsia" w:cs="宋体" w:hint="eastAsia"/>
          <w:color w:val="000000" w:themeColor="text1"/>
          <w:kern w:val="0"/>
          <w:sz w:val="24"/>
        </w:rPr>
        <w:t>内容</w:t>
      </w:r>
      <w:r>
        <w:rPr>
          <w:rFonts w:asciiTheme="minorEastAsia" w:eastAsiaTheme="minorEastAsia" w:hAnsiTheme="minorEastAsia" w:cs="宋体"/>
          <w:color w:val="000000" w:themeColor="text1"/>
          <w:kern w:val="0"/>
          <w:sz w:val="24"/>
        </w:rPr>
        <w:t>：</w:t>
      </w:r>
    </w:p>
    <w:p w14:paraId="3196BF0E" w14:textId="77777777" w:rsidR="00CB20E0" w:rsidRDefault="003358B6">
      <w:pPr>
        <w:rPr>
          <w:rFonts w:asciiTheme="minorEastAsia" w:eastAsiaTheme="minorEastAsia" w:hAnsiTheme="minorEastAsia" w:cs="宋体"/>
          <w:b/>
          <w:bCs/>
          <w:sz w:val="24"/>
        </w:rPr>
      </w:pPr>
      <w:r>
        <w:rPr>
          <w:rFonts w:asciiTheme="minorEastAsia" w:eastAsiaTheme="minorEastAsia" w:hAnsiTheme="minorEastAsia" w:cs="宋体" w:hint="eastAsia"/>
          <w:color w:val="000000" w:themeColor="text1"/>
          <w:kern w:val="0"/>
          <w:sz w:val="24"/>
        </w:rPr>
        <w:tab/>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2284"/>
        <w:gridCol w:w="1354"/>
        <w:gridCol w:w="4447"/>
      </w:tblGrid>
      <w:tr w:rsidR="00CB20E0" w14:paraId="28F72173" w14:textId="77777777">
        <w:tc>
          <w:tcPr>
            <w:tcW w:w="480" w:type="pct"/>
            <w:tcBorders>
              <w:right w:val="single" w:sz="4" w:space="0" w:color="auto"/>
            </w:tcBorders>
            <w:vAlign w:val="center"/>
          </w:tcPr>
          <w:p w14:paraId="7F2C55C6"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bCs/>
                <w:sz w:val="24"/>
              </w:rPr>
              <w:t>序号</w:t>
            </w:r>
          </w:p>
        </w:tc>
        <w:tc>
          <w:tcPr>
            <w:tcW w:w="1277" w:type="pct"/>
            <w:tcBorders>
              <w:right w:val="single" w:sz="4" w:space="0" w:color="auto"/>
            </w:tcBorders>
            <w:vAlign w:val="center"/>
          </w:tcPr>
          <w:p w14:paraId="62E37707"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信息系统名称</w:t>
            </w:r>
          </w:p>
        </w:tc>
        <w:tc>
          <w:tcPr>
            <w:tcW w:w="757" w:type="pct"/>
            <w:tcBorders>
              <w:left w:val="single" w:sz="4" w:space="0" w:color="auto"/>
            </w:tcBorders>
            <w:vAlign w:val="center"/>
          </w:tcPr>
          <w:p w14:paraId="4B5A292D"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bCs/>
                <w:sz w:val="24"/>
              </w:rPr>
              <w:t>定级</w:t>
            </w:r>
          </w:p>
        </w:tc>
        <w:tc>
          <w:tcPr>
            <w:tcW w:w="2486" w:type="pct"/>
            <w:vAlign w:val="center"/>
          </w:tcPr>
          <w:p w14:paraId="5CEA70D2"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服务描述</w:t>
            </w:r>
          </w:p>
        </w:tc>
      </w:tr>
      <w:tr w:rsidR="00E32C4F" w14:paraId="1250FF31" w14:textId="77777777">
        <w:tc>
          <w:tcPr>
            <w:tcW w:w="480" w:type="pct"/>
            <w:tcBorders>
              <w:right w:val="single" w:sz="4" w:space="0" w:color="auto"/>
            </w:tcBorders>
            <w:vAlign w:val="center"/>
          </w:tcPr>
          <w:p w14:paraId="35DEFAC9" w14:textId="670C0AAB" w:rsidR="00E32C4F" w:rsidRDefault="00E32C4F" w:rsidP="00E32C4F">
            <w:pPr>
              <w:spacing w:line="360" w:lineRule="auto"/>
              <w:ind w:firstLineChars="100" w:firstLine="240"/>
              <w:rPr>
                <w:rFonts w:asciiTheme="minorEastAsia" w:eastAsiaTheme="minorEastAsia" w:hAnsiTheme="minorEastAsia"/>
                <w:bCs/>
                <w:sz w:val="24"/>
              </w:rPr>
            </w:pPr>
            <w:r>
              <w:rPr>
                <w:rFonts w:asciiTheme="minorEastAsia" w:eastAsiaTheme="minorEastAsia" w:hAnsiTheme="minorEastAsia"/>
                <w:bCs/>
                <w:sz w:val="24"/>
              </w:rPr>
              <w:t>1</w:t>
            </w:r>
          </w:p>
        </w:tc>
        <w:tc>
          <w:tcPr>
            <w:tcW w:w="1277" w:type="pct"/>
            <w:tcBorders>
              <w:right w:val="single" w:sz="4" w:space="0" w:color="auto"/>
            </w:tcBorders>
            <w:vAlign w:val="center"/>
          </w:tcPr>
          <w:p w14:paraId="4647B235" w14:textId="38C8841B"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肿瘤医院信息系统</w:t>
            </w:r>
          </w:p>
        </w:tc>
        <w:tc>
          <w:tcPr>
            <w:tcW w:w="757" w:type="pct"/>
            <w:tcBorders>
              <w:left w:val="single" w:sz="4" w:space="0" w:color="auto"/>
            </w:tcBorders>
            <w:vAlign w:val="center"/>
          </w:tcPr>
          <w:p w14:paraId="478C7624" w14:textId="0A217B41"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三</w:t>
            </w:r>
            <w:r>
              <w:rPr>
                <w:rFonts w:asciiTheme="minorEastAsia" w:eastAsiaTheme="minorEastAsia" w:hAnsiTheme="minorEastAsia"/>
                <w:bCs/>
                <w:sz w:val="24"/>
              </w:rPr>
              <w:t>级</w:t>
            </w:r>
          </w:p>
        </w:tc>
        <w:tc>
          <w:tcPr>
            <w:tcW w:w="2486" w:type="pct"/>
            <w:vAlign w:val="center"/>
          </w:tcPr>
          <w:p w14:paraId="729D2994" w14:textId="7279AAE1"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对肿瘤医院信息系统进行等级保护测评服务，出具测评报告。</w:t>
            </w:r>
          </w:p>
        </w:tc>
      </w:tr>
    </w:tbl>
    <w:p w14:paraId="12EDCBD1" w14:textId="77777777" w:rsidR="00CB20E0" w:rsidRPr="008B5DD2" w:rsidRDefault="00CB20E0">
      <w:pPr>
        <w:rPr>
          <w:rFonts w:asciiTheme="minorEastAsia" w:eastAsiaTheme="minorEastAsia" w:hAnsiTheme="minorEastAsia" w:cs="宋体"/>
          <w:b/>
          <w:bCs/>
          <w:sz w:val="24"/>
        </w:rPr>
      </w:pPr>
    </w:p>
    <w:p w14:paraId="47B0CC7E" w14:textId="77777777" w:rsidR="00CB20E0" w:rsidRDefault="003358B6">
      <w:pPr>
        <w:autoSpaceDE w:val="0"/>
        <w:autoSpaceDN w:val="0"/>
        <w:spacing w:line="360" w:lineRule="auto"/>
        <w:ind w:firstLine="488"/>
        <w:rPr>
          <w:rFonts w:asciiTheme="minorEastAsia" w:eastAsiaTheme="minorEastAsia" w:hAnsiTheme="minorEastAsia" w:cs="宋体"/>
          <w:spacing w:val="2"/>
          <w:kern w:val="0"/>
          <w:sz w:val="24"/>
        </w:rPr>
      </w:pPr>
      <w:r>
        <w:rPr>
          <w:rFonts w:asciiTheme="minorEastAsia" w:eastAsiaTheme="minorEastAsia" w:hAnsiTheme="minorEastAsia" w:cs="宋体" w:hint="eastAsia"/>
          <w:spacing w:val="2"/>
          <w:kern w:val="0"/>
          <w:sz w:val="24"/>
        </w:rPr>
        <w:t>参照《GBT22239-2019 网络安全等级保护基本要求》和《GB/T28448-2019 网络安全等级保护测评要求》等标准规范要求，开展信息系统等级保护测评及整改工作。测评及整改范围为项目目标所涉及的基础网络环境、主机层面、应用层、数据库层及相关安全辅助设备与管理制度。服务目标为项目目标最终通过公安部门及相关部门的等级保护检查要求。</w:t>
      </w:r>
    </w:p>
    <w:p w14:paraId="64A1E71F" w14:textId="77777777" w:rsidR="00CB20E0" w:rsidRDefault="003358B6">
      <w:pPr>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2</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color w:val="000000" w:themeColor="text1"/>
          <w:kern w:val="0"/>
          <w:sz w:val="24"/>
        </w:rPr>
        <w:t>标准和规范</w:t>
      </w:r>
    </w:p>
    <w:p w14:paraId="322C78F0"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 17859—1999 计算机信息系统 安全等级保护划分准则》</w:t>
      </w:r>
    </w:p>
    <w:p w14:paraId="6F285F82"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20269—2006 信息安全技术 信息系统安全管理要求》</w:t>
      </w:r>
    </w:p>
    <w:p w14:paraId="7AE4F3A3"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《GBT 20271—2006 信息安全技术 </w:t>
      </w:r>
      <w:r>
        <w:rPr>
          <w:rFonts w:asciiTheme="minorEastAsia" w:eastAsiaTheme="minorEastAsia" w:hAnsiTheme="minorEastAsia" w:cs="宋体" w:hint="eastAsia"/>
          <w:kern w:val="0"/>
          <w:sz w:val="24"/>
        </w:rPr>
        <w:t>网络</w:t>
      </w:r>
      <w:r>
        <w:rPr>
          <w:rFonts w:asciiTheme="minorEastAsia" w:eastAsiaTheme="minorEastAsia" w:hAnsiTheme="minorEastAsia" w:cs="宋体"/>
          <w:kern w:val="0"/>
          <w:sz w:val="24"/>
        </w:rPr>
        <w:t>系统安全通用技术要求》</w:t>
      </w:r>
    </w:p>
    <w:p w14:paraId="3C63A655"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20272—2006 信息安全技术 操作系统安全技术要求》</w:t>
      </w:r>
    </w:p>
    <w:p w14:paraId="55F0D6EE"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20273—2006 信息安全技术 数据库管理系统安全技术要求》</w:t>
      </w:r>
    </w:p>
    <w:p w14:paraId="13725051"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 22240-2020 信息安全技术 网络安全等级保护定级指南》</w:t>
      </w:r>
    </w:p>
    <w:p w14:paraId="237FDD76"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22239—2019</w:t>
      </w:r>
      <w:r>
        <w:rPr>
          <w:rFonts w:asciiTheme="minorEastAsia" w:eastAsiaTheme="minorEastAsia" w:hAnsiTheme="minorEastAsia" w:cs="宋体"/>
          <w:kern w:val="0"/>
          <w:sz w:val="24"/>
        </w:rPr>
        <w:t xml:space="preserve"> 信息安全技术 网络安全等级保护基本要求</w:t>
      </w:r>
      <w:r>
        <w:rPr>
          <w:rFonts w:asciiTheme="minorEastAsia" w:eastAsiaTheme="minorEastAsia" w:hAnsiTheme="minorEastAsia" w:cs="宋体" w:hint="eastAsia"/>
          <w:kern w:val="0"/>
          <w:sz w:val="24"/>
        </w:rPr>
        <w:t>》</w:t>
      </w:r>
    </w:p>
    <w:p w14:paraId="7B5FCDE2"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《GB/T25070—2019</w:t>
      </w:r>
      <w:r>
        <w:rPr>
          <w:rFonts w:asciiTheme="minorEastAsia" w:eastAsiaTheme="minorEastAsia" w:hAnsiTheme="minorEastAsia" w:cs="宋体"/>
          <w:kern w:val="0"/>
          <w:sz w:val="24"/>
        </w:rPr>
        <w:t xml:space="preserve"> 信息安全技术</w:t>
      </w:r>
      <w:r>
        <w:rPr>
          <w:rFonts w:asciiTheme="minorEastAsia" w:eastAsiaTheme="minorEastAsia" w:hAnsiTheme="minorEastAsia" w:cs="宋体" w:hint="eastAsia"/>
          <w:kern w:val="0"/>
          <w:sz w:val="24"/>
        </w:rPr>
        <w:t xml:space="preserve"> 网络安全等级保护设计技术要求》</w:t>
      </w:r>
    </w:p>
    <w:p w14:paraId="256A4506"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《GB/T28448—2019</w:t>
      </w:r>
      <w:r>
        <w:rPr>
          <w:rFonts w:asciiTheme="minorEastAsia" w:eastAsiaTheme="minorEastAsia" w:hAnsiTheme="minorEastAsia" w:cs="宋体"/>
          <w:kern w:val="0"/>
          <w:sz w:val="24"/>
        </w:rPr>
        <w:t xml:space="preserve"> 信息安全技术</w:t>
      </w:r>
      <w:r>
        <w:rPr>
          <w:rFonts w:asciiTheme="minorEastAsia" w:eastAsiaTheme="minorEastAsia" w:hAnsiTheme="minorEastAsia" w:cs="宋体" w:hint="eastAsia"/>
          <w:kern w:val="0"/>
          <w:sz w:val="24"/>
        </w:rPr>
        <w:t xml:space="preserve"> 网络安全等级保护测评要求》</w:t>
      </w:r>
    </w:p>
    <w:p w14:paraId="78E6BCA3"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《信息安全等级保护备案实施细则》（公信安[2007]1360 号）</w:t>
      </w:r>
    </w:p>
    <w:p w14:paraId="46DFA1AA"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 25058-2019 信息安全技术 网络安全等级保护实施指南》</w:t>
      </w:r>
    </w:p>
    <w:p w14:paraId="0C49D8B1"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HYPERLINK "http://www.baidu.com/link?url=jrwCn0k5g-pjfPjj8ssoA8Zc8cGAmY6uAgqr_NWkuGJBmWRWjx-u7Cavb-A5H84m1zuEktrJPPYlpQ6pW78BxcZXjkBvAEsg8de6Wgjswey" \t "https://www.baidu.com/_blank"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cs="宋体" w:hint="eastAsia"/>
          <w:kern w:val="0"/>
          <w:sz w:val="24"/>
        </w:rPr>
        <w:t>GB-T</w:t>
      </w:r>
      <w:r>
        <w:rPr>
          <w:rFonts w:asciiTheme="minorEastAsia" w:eastAsiaTheme="minorEastAsia" w:hAnsiTheme="minorEastAsia" w:cs="宋体" w:hint="eastAsia"/>
          <w:kern w:val="0"/>
          <w:sz w:val="24"/>
        </w:rPr>
        <w:t> </w:t>
      </w:r>
      <w:r>
        <w:rPr>
          <w:rFonts w:asciiTheme="minorEastAsia" w:eastAsiaTheme="minorEastAsia" w:hAnsiTheme="minorEastAsia" w:cs="宋体" w:hint="eastAsia"/>
          <w:kern w:val="0"/>
          <w:sz w:val="24"/>
        </w:rPr>
        <w:t>28449-2018</w:t>
      </w:r>
      <w:r>
        <w:rPr>
          <w:rFonts w:asciiTheme="minorEastAsia" w:eastAsiaTheme="minorEastAsia" w:hAnsiTheme="minorEastAsia" w:cs="宋体"/>
          <w:kern w:val="0"/>
          <w:sz w:val="24"/>
        </w:rPr>
        <w:fldChar w:fldCharType="end"/>
      </w:r>
      <w:r>
        <w:rPr>
          <w:rFonts w:asciiTheme="minorEastAsia" w:eastAsiaTheme="minorEastAsia" w:hAnsiTheme="minorEastAsia" w:cs="宋体" w:hint="eastAsia"/>
          <w:kern w:val="0"/>
          <w:sz w:val="24"/>
        </w:rPr>
        <w:t xml:space="preserve"> 信息安全技术 网络安全等级保护测评过程指南》</w:t>
      </w:r>
    </w:p>
    <w:p w14:paraId="080AC14A"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《公通字[2007]43号 信息安全等级保护管理办法》</w:t>
      </w:r>
    </w:p>
    <w:p w14:paraId="1FA5F63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本项目实施方案设计与具体实施必须满足以下原则：</w:t>
      </w:r>
    </w:p>
    <w:p w14:paraId="5F000675" w14:textId="3EB94F42"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保密原则：</w:t>
      </w:r>
      <w:r w:rsidRPr="005B3D6C">
        <w:rPr>
          <w:rFonts w:asciiTheme="minorEastAsia" w:eastAsiaTheme="minorEastAsia" w:hAnsiTheme="minorEastAsia" w:cs="宋体"/>
          <w:bCs/>
          <w:kern w:val="0"/>
          <w:sz w:val="24"/>
        </w:rPr>
        <w:t>对测评的过程数据和结果数据严格保密，未经授权不得泄露给任何单位和个人，不得利用此数据进行任何侵害招标方的行为。</w:t>
      </w:r>
    </w:p>
    <w:p w14:paraId="10C2C7DF" w14:textId="1B28993E"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标准性原则：</w:t>
      </w:r>
      <w:r w:rsidRPr="005B3D6C">
        <w:rPr>
          <w:rFonts w:asciiTheme="minorEastAsia" w:eastAsiaTheme="minorEastAsia" w:hAnsiTheme="minorEastAsia" w:cs="宋体"/>
          <w:bCs/>
          <w:kern w:val="0"/>
          <w:sz w:val="24"/>
        </w:rPr>
        <w:t>测评方案的设计与实施应依据国家信息系统安全等级保护的相</w:t>
      </w:r>
      <w:r w:rsidRPr="005B3D6C">
        <w:rPr>
          <w:rFonts w:asciiTheme="minorEastAsia" w:eastAsiaTheme="minorEastAsia" w:hAnsiTheme="minorEastAsia" w:cs="宋体"/>
          <w:bCs/>
          <w:kern w:val="0"/>
          <w:sz w:val="24"/>
        </w:rPr>
        <w:lastRenderedPageBreak/>
        <w:t>关标准进行。</w:t>
      </w:r>
    </w:p>
    <w:p w14:paraId="43D9FED0" w14:textId="5A1555FF"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规范性原则：</w:t>
      </w:r>
      <w:r w:rsidRPr="005B3D6C">
        <w:rPr>
          <w:rFonts w:asciiTheme="minorEastAsia" w:eastAsiaTheme="minorEastAsia" w:hAnsiTheme="minorEastAsia" w:cs="宋体"/>
          <w:bCs/>
          <w:kern w:val="0"/>
          <w:sz w:val="24"/>
        </w:rPr>
        <w:t>投标方的工作中的过程和文档，具有很好的规范性，可以便于项目的跟踪和控制。</w:t>
      </w:r>
    </w:p>
    <w:p w14:paraId="3B6CA141" w14:textId="6E2E8C46"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可控性原则：</w:t>
      </w:r>
      <w:r w:rsidRPr="005B3D6C">
        <w:rPr>
          <w:rFonts w:asciiTheme="minorEastAsia" w:eastAsiaTheme="minorEastAsia" w:hAnsiTheme="minorEastAsia" w:cs="宋体"/>
          <w:bCs/>
          <w:kern w:val="0"/>
          <w:sz w:val="24"/>
        </w:rPr>
        <w:t>项目安排工作进度要跟上进度表的安排，保证工作的可控性。</w:t>
      </w:r>
    </w:p>
    <w:p w14:paraId="46A25AC9" w14:textId="2E75E617"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最小影响原则：</w:t>
      </w:r>
      <w:r w:rsidRPr="005B3D6C">
        <w:rPr>
          <w:rFonts w:asciiTheme="minorEastAsia" w:eastAsiaTheme="minorEastAsia" w:hAnsiTheme="minorEastAsia" w:cs="宋体"/>
          <w:bCs/>
          <w:kern w:val="0"/>
          <w:sz w:val="24"/>
        </w:rPr>
        <w:t>测评工作应尽可能小的影响系统和网络，并在可控范围内；测评工作不能对现有信息系统的正常运行、业务的正常开展产生任何影响。</w:t>
      </w:r>
    </w:p>
    <w:p w14:paraId="55280D33" w14:textId="52D73016"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整体性原则：</w:t>
      </w:r>
      <w:r w:rsidRPr="005B3D6C">
        <w:rPr>
          <w:rFonts w:asciiTheme="minorEastAsia" w:eastAsiaTheme="minorEastAsia" w:hAnsiTheme="minorEastAsia" w:cs="宋体"/>
          <w:kern w:val="0"/>
          <w:sz w:val="24"/>
        </w:rPr>
        <w:t>测评的范围和内容应当整体全面，包括国家等级保护相关要求涉及的各个层面。</w:t>
      </w:r>
    </w:p>
    <w:p w14:paraId="7C8F53E9"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整体要求</w:t>
      </w:r>
    </w:p>
    <w:p w14:paraId="2193118D"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投标人应详细描述本次信息系统安全等级保护测评的整体实施方案，包括项目概述、等级保护测评方案、测试过程中需使用测试设备清单、时间安排、阶段性文档提交等。</w:t>
      </w:r>
    </w:p>
    <w:p w14:paraId="22150419"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投标人应完成信息系统定级报告及定级材料的准备、整理，完成信息系统去公安机关的备案工作。</w:t>
      </w:r>
    </w:p>
    <w:p w14:paraId="1B4AFD90"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投标人应详细描述测评人员的组成、资质</w:t>
      </w:r>
      <w:r>
        <w:rPr>
          <w:rFonts w:asciiTheme="minorEastAsia" w:eastAsiaTheme="minorEastAsia" w:hAnsiTheme="minorEastAsia" w:cs="宋体" w:hint="eastAsia"/>
          <w:sz w:val="24"/>
        </w:rPr>
        <w:t>。</w:t>
      </w:r>
    </w:p>
    <w:p w14:paraId="26EE45EB"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本次信息系统安全等级保护测评实施过程中所使用到的各种工具软件由投标人推荐，经招标人确认后由投标人提供并在信息系统等级保护测评中使用。</w:t>
      </w:r>
    </w:p>
    <w:p w14:paraId="1DFD2296"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信息系统安全等级保护测评需要的运行环境（如场地、网络环境等）由招标人提供，投标人应详细描述需要的运行环境的具体要求。</w:t>
      </w:r>
    </w:p>
    <w:p w14:paraId="1324A2A5"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投标人应提供本次信息系统安全等级保护整改的整体实施方案，包括项目时间安排、阶段性文档提交等，并负责实施整改。</w:t>
      </w:r>
    </w:p>
    <w:p w14:paraId="7F8058B9"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专用工具要求</w:t>
      </w:r>
    </w:p>
    <w:p w14:paraId="79D8A7AA"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本项目涉及工程实施和验收测试所需的工具，由投标方负责提供。用于测评的工具主要包括服务器安全测评工具、网络设备安全测评工具、终端计算机安全测评工具、网站等应用系统安全测评工具等。在使用前，应对工具进行测评，如果需要则对工具进行软件或代码升级</w:t>
      </w:r>
      <w:r>
        <w:rPr>
          <w:rFonts w:asciiTheme="minorEastAsia" w:eastAsiaTheme="minorEastAsia" w:hAnsiTheme="minorEastAsia" w:cs="宋体" w:hint="eastAsia"/>
          <w:kern w:val="0"/>
          <w:sz w:val="24"/>
        </w:rPr>
        <w:t>。</w:t>
      </w:r>
    </w:p>
    <w:p w14:paraId="07A52BB5"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、安全管理要求</w:t>
      </w:r>
    </w:p>
    <w:p w14:paraId="668A777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为做好全过程的安全保密工作，在等级保护测评前、中、后三个阶段都要做好安全保密工作。</w:t>
      </w:r>
    </w:p>
    <w:p w14:paraId="69164A0D" w14:textId="77777777" w:rsidR="00CB20E0" w:rsidRDefault="003358B6">
      <w:pPr>
        <w:numPr>
          <w:ilvl w:val="2"/>
          <w:numId w:val="3"/>
        </w:numPr>
        <w:tabs>
          <w:tab w:val="left" w:pos="814"/>
        </w:tabs>
        <w:autoSpaceDE w:val="0"/>
        <w:autoSpaceDN w:val="0"/>
        <w:spacing w:line="360" w:lineRule="auto"/>
        <w:ind w:left="149" w:firstLineChars="200" w:firstLine="489"/>
        <w:jc w:val="left"/>
        <w:rPr>
          <w:rFonts w:asciiTheme="minorEastAsia" w:eastAsiaTheme="minorEastAsia" w:hAnsiTheme="minorEastAsia" w:cs="宋体"/>
          <w:sz w:val="24"/>
        </w:rPr>
      </w:pPr>
      <w:r>
        <w:rPr>
          <w:rFonts w:asciiTheme="minorEastAsia" w:eastAsiaTheme="minorEastAsia" w:hAnsiTheme="minorEastAsia" w:cs="宋体" w:hint="eastAsia"/>
          <w:b/>
          <w:sz w:val="24"/>
        </w:rPr>
        <w:lastRenderedPageBreak/>
        <w:t>A、</w:t>
      </w:r>
      <w:proofErr w:type="spellStart"/>
      <w:r>
        <w:rPr>
          <w:rFonts w:asciiTheme="minorEastAsia" w:eastAsiaTheme="minorEastAsia" w:hAnsiTheme="minorEastAsia" w:cs="宋体"/>
          <w:b/>
          <w:sz w:val="24"/>
          <w:lang w:eastAsia="en-US"/>
        </w:rPr>
        <w:t>等级保护测评前</w:t>
      </w:r>
      <w:proofErr w:type="spellEnd"/>
    </w:p>
    <w:p w14:paraId="1723C08C" w14:textId="77777777" w:rsidR="00CB20E0" w:rsidRDefault="003358B6">
      <w:pPr>
        <w:numPr>
          <w:ilvl w:val="0"/>
          <w:numId w:val="4"/>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对等级保护测评人员要进行安全保密教育，制定安全保密措施；</w:t>
      </w:r>
    </w:p>
    <w:p w14:paraId="519E7CF2" w14:textId="77777777" w:rsidR="00CB20E0" w:rsidRDefault="003358B6">
      <w:pPr>
        <w:numPr>
          <w:ilvl w:val="0"/>
          <w:numId w:val="4"/>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签订安全保密协议。</w:t>
      </w:r>
    </w:p>
    <w:p w14:paraId="482C31B2" w14:textId="77777777" w:rsidR="00CB20E0" w:rsidRDefault="003358B6">
      <w:pPr>
        <w:numPr>
          <w:ilvl w:val="2"/>
          <w:numId w:val="3"/>
        </w:numPr>
        <w:tabs>
          <w:tab w:val="left" w:pos="814"/>
        </w:tabs>
        <w:autoSpaceDE w:val="0"/>
        <w:autoSpaceDN w:val="0"/>
        <w:spacing w:line="360" w:lineRule="auto"/>
        <w:ind w:left="149" w:firstLineChars="200" w:firstLine="489"/>
        <w:jc w:val="left"/>
        <w:rPr>
          <w:rFonts w:asciiTheme="minorEastAsia" w:eastAsiaTheme="minorEastAsia" w:hAnsiTheme="minorEastAsia" w:cs="宋体"/>
          <w:b/>
          <w:sz w:val="24"/>
          <w:lang w:eastAsia="en-US"/>
        </w:rPr>
      </w:pPr>
      <w:r>
        <w:rPr>
          <w:rFonts w:asciiTheme="minorEastAsia" w:eastAsiaTheme="minorEastAsia" w:hAnsiTheme="minorEastAsia" w:cs="宋体" w:hint="eastAsia"/>
          <w:b/>
          <w:sz w:val="24"/>
        </w:rPr>
        <w:t>B、</w:t>
      </w:r>
      <w:proofErr w:type="spellStart"/>
      <w:r>
        <w:rPr>
          <w:rFonts w:asciiTheme="minorEastAsia" w:eastAsiaTheme="minorEastAsia" w:hAnsiTheme="minorEastAsia" w:cs="宋体"/>
          <w:b/>
          <w:sz w:val="24"/>
          <w:lang w:eastAsia="en-US"/>
        </w:rPr>
        <w:t>等级保护测评中</w:t>
      </w:r>
      <w:proofErr w:type="spellEnd"/>
    </w:p>
    <w:p w14:paraId="627B5513"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对被测单位的性质、机房物理位置、网络与系统、应用与服务、资料与数据、人员与管理等方面的信息进行严格的安全保密管理；</w:t>
      </w:r>
    </w:p>
    <w:p w14:paraId="307BAAD2"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等级保护测评工具应经过严格测试和检验，确保不对被测评系统造成损失，工作结束后不驻留任何程序；</w:t>
      </w:r>
    </w:p>
    <w:p w14:paraId="135509DE"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对被测单位信息系统的信息资产、发现的脆弱性和发生过的安全事件等威胁情况要控制知情范围；</w:t>
      </w:r>
    </w:p>
    <w:p w14:paraId="40683961"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对测评设备、介质进行严格的保密管理；</w:t>
      </w:r>
    </w:p>
    <w:p w14:paraId="796E0CC3"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工作过程中对人员要实施封闭式集中管理；</w:t>
      </w:r>
    </w:p>
    <w:p w14:paraId="0DEC7C78"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对进场人员遵守被测单位的相关管理规定。</w:t>
      </w:r>
    </w:p>
    <w:p w14:paraId="446FC329" w14:textId="77777777" w:rsidR="00CB20E0" w:rsidRDefault="003358B6">
      <w:pPr>
        <w:numPr>
          <w:ilvl w:val="2"/>
          <w:numId w:val="3"/>
        </w:numPr>
        <w:tabs>
          <w:tab w:val="left" w:pos="814"/>
        </w:tabs>
        <w:autoSpaceDE w:val="0"/>
        <w:autoSpaceDN w:val="0"/>
        <w:spacing w:before="1" w:line="360" w:lineRule="auto"/>
        <w:ind w:left="149" w:firstLineChars="200" w:firstLine="489"/>
        <w:jc w:val="left"/>
        <w:rPr>
          <w:rFonts w:asciiTheme="minorEastAsia" w:eastAsiaTheme="minorEastAsia" w:hAnsiTheme="minorEastAsia" w:cs="宋体"/>
          <w:b/>
          <w:sz w:val="24"/>
          <w:lang w:eastAsia="en-US"/>
        </w:rPr>
      </w:pPr>
      <w:r>
        <w:rPr>
          <w:rFonts w:asciiTheme="minorEastAsia" w:eastAsiaTheme="minorEastAsia" w:hAnsiTheme="minorEastAsia" w:cs="宋体" w:hint="eastAsia"/>
          <w:b/>
          <w:sz w:val="24"/>
        </w:rPr>
        <w:t>C、</w:t>
      </w:r>
      <w:proofErr w:type="spellStart"/>
      <w:r>
        <w:rPr>
          <w:rFonts w:asciiTheme="minorEastAsia" w:eastAsiaTheme="minorEastAsia" w:hAnsiTheme="minorEastAsia" w:cs="宋体"/>
          <w:b/>
          <w:sz w:val="24"/>
          <w:lang w:eastAsia="en-US"/>
        </w:rPr>
        <w:t>等级保护测评后</w:t>
      </w:r>
      <w:proofErr w:type="spellEnd"/>
    </w:p>
    <w:p w14:paraId="0E9EE53F"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认真清退各种文档、资料和数据并予以销毁，确保工作过程中敏感数据不被泄漏；</w:t>
      </w:r>
    </w:p>
    <w:p w14:paraId="00CD6434"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现场工作结束后，按被测单位的要求及时还原系统，确保系统中不遗留任何代码或可执行程序；</w:t>
      </w:r>
    </w:p>
    <w:p w14:paraId="6289C8D9"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在其他风险测评任务或宣传材料中不涉及被测单位的秘密、敏感情况。</w:t>
      </w:r>
    </w:p>
    <w:p w14:paraId="5AEB223F" w14:textId="77777777" w:rsidR="00CB20E0" w:rsidRDefault="003358B6">
      <w:pPr>
        <w:tabs>
          <w:tab w:val="left" w:pos="360"/>
          <w:tab w:val="left" w:pos="57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7</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文档要求</w:t>
      </w:r>
    </w:p>
    <w:p w14:paraId="098DA208"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文档或报告的编写应完整清晰</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用词规范</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简明扼要</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指出的问题应明确合理、</w:t>
      </w:r>
      <w:r>
        <w:rPr>
          <w:rFonts w:asciiTheme="minorEastAsia" w:eastAsiaTheme="minorEastAsia" w:hAnsiTheme="minorEastAsia" w:cs="宋体"/>
          <w:spacing w:val="2"/>
          <w:kern w:val="0"/>
          <w:sz w:val="24"/>
        </w:rPr>
        <w:t>符合逻辑、且有证据</w:t>
      </w:r>
      <w:r>
        <w:rPr>
          <w:rFonts w:asciiTheme="minorEastAsia" w:eastAsiaTheme="minorEastAsia" w:hAnsiTheme="minorEastAsia" w:cs="宋体"/>
          <w:spacing w:val="4"/>
          <w:kern w:val="0"/>
          <w:sz w:val="24"/>
        </w:rPr>
        <w:t>，</w:t>
      </w:r>
      <w:r>
        <w:rPr>
          <w:rFonts w:asciiTheme="minorEastAsia" w:eastAsiaTheme="minorEastAsia" w:hAnsiTheme="minorEastAsia" w:cs="宋体"/>
          <w:spacing w:val="2"/>
          <w:kern w:val="0"/>
          <w:sz w:val="24"/>
        </w:rPr>
        <w:t>出具的结论应公正客</w:t>
      </w:r>
      <w:r>
        <w:rPr>
          <w:rFonts w:asciiTheme="minorEastAsia" w:eastAsiaTheme="minorEastAsia" w:hAnsiTheme="minorEastAsia" w:cs="宋体"/>
          <w:spacing w:val="4"/>
          <w:kern w:val="0"/>
          <w:sz w:val="24"/>
        </w:rPr>
        <w:t>观</w:t>
      </w:r>
      <w:r>
        <w:rPr>
          <w:rFonts w:asciiTheme="minorEastAsia" w:eastAsiaTheme="minorEastAsia" w:hAnsiTheme="minorEastAsia" w:cs="宋体"/>
          <w:spacing w:val="2"/>
          <w:kern w:val="0"/>
          <w:sz w:val="24"/>
        </w:rPr>
        <w:t>、实事求是，提出的</w:t>
      </w:r>
      <w:r>
        <w:rPr>
          <w:rFonts w:asciiTheme="minorEastAsia" w:eastAsiaTheme="minorEastAsia" w:hAnsiTheme="minorEastAsia" w:cs="宋体"/>
          <w:spacing w:val="4"/>
          <w:kern w:val="0"/>
          <w:sz w:val="24"/>
        </w:rPr>
        <w:t>建</w:t>
      </w:r>
      <w:r>
        <w:rPr>
          <w:rFonts w:asciiTheme="minorEastAsia" w:eastAsiaTheme="minorEastAsia" w:hAnsiTheme="minorEastAsia" w:cs="宋体"/>
          <w:spacing w:val="2"/>
          <w:kern w:val="0"/>
          <w:sz w:val="24"/>
        </w:rPr>
        <w:t>议应符合国家</w:t>
      </w:r>
      <w:r>
        <w:rPr>
          <w:rFonts w:asciiTheme="minorEastAsia" w:eastAsiaTheme="minorEastAsia" w:hAnsiTheme="minorEastAsia" w:cs="宋体"/>
          <w:kern w:val="0"/>
          <w:sz w:val="24"/>
        </w:rPr>
        <w:t>标准规范、富有建设性和可操作性。</w:t>
      </w:r>
    </w:p>
    <w:p w14:paraId="198DC9E7" w14:textId="77777777" w:rsidR="00CB20E0" w:rsidRDefault="003358B6">
      <w:pPr>
        <w:tabs>
          <w:tab w:val="left" w:pos="360"/>
          <w:tab w:val="left" w:pos="574"/>
        </w:tabs>
        <w:autoSpaceDE w:val="0"/>
        <w:autoSpaceDN w:val="0"/>
        <w:spacing w:before="26" w:line="360" w:lineRule="auto"/>
        <w:rPr>
          <w:rFonts w:asciiTheme="minorEastAsia" w:eastAsiaTheme="minorEastAsia" w:hAnsiTheme="minorEastAsia" w:cs="宋体"/>
          <w:bCs/>
          <w:sz w:val="24"/>
        </w:rPr>
      </w:pPr>
      <w:r>
        <w:rPr>
          <w:rFonts w:asciiTheme="minorEastAsia" w:eastAsiaTheme="minorEastAsia" w:hAnsiTheme="minorEastAsia" w:cs="宋体"/>
          <w:bCs/>
          <w:sz w:val="24"/>
        </w:rPr>
        <w:t>8</w:t>
      </w:r>
      <w:r>
        <w:rPr>
          <w:rFonts w:asciiTheme="minorEastAsia" w:eastAsiaTheme="minorEastAsia" w:hAnsiTheme="minorEastAsia" w:cs="宋体" w:hint="eastAsia"/>
          <w:bCs/>
          <w:sz w:val="24"/>
        </w:rPr>
        <w:t>、测评公司综合实力要求</w:t>
      </w:r>
    </w:p>
    <w:p w14:paraId="6F8750D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投标方应提供测评成员的技术背景资历资料、从事测评的经验、人力资源的组织方式、项目实施的管理方式、项目成员的角色和责任。</w:t>
      </w:r>
    </w:p>
    <w:p w14:paraId="35357BEF" w14:textId="77777777" w:rsidR="00CB20E0" w:rsidRDefault="003358B6">
      <w:pPr>
        <w:tabs>
          <w:tab w:val="left" w:pos="360"/>
          <w:tab w:val="left" w:pos="574"/>
        </w:tabs>
        <w:autoSpaceDE w:val="0"/>
        <w:autoSpaceDN w:val="0"/>
        <w:spacing w:before="26" w:line="360" w:lineRule="auto"/>
        <w:rPr>
          <w:rFonts w:asciiTheme="minorEastAsia" w:eastAsiaTheme="minorEastAsia" w:hAnsiTheme="minorEastAsia" w:cs="宋体"/>
          <w:bCs/>
          <w:sz w:val="24"/>
        </w:rPr>
      </w:pPr>
      <w:r>
        <w:rPr>
          <w:rFonts w:asciiTheme="minorEastAsia" w:eastAsiaTheme="minorEastAsia" w:hAnsiTheme="minorEastAsia" w:cs="宋体"/>
          <w:bCs/>
          <w:sz w:val="24"/>
        </w:rPr>
        <w:t>9</w:t>
      </w:r>
      <w:r>
        <w:rPr>
          <w:rFonts w:asciiTheme="minorEastAsia" w:eastAsiaTheme="minorEastAsia" w:hAnsiTheme="minorEastAsia" w:cs="宋体" w:hint="eastAsia"/>
          <w:bCs/>
          <w:sz w:val="24"/>
        </w:rPr>
        <w:t>、售后服务</w:t>
      </w:r>
    </w:p>
    <w:p w14:paraId="5FE05744"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投标方承诺能按要求实现本技术规范规定的所有条款及功能要求，配合完成相关政府部门的信息安全等级保护相关（登记、整改等）工作要求。</w:t>
      </w:r>
    </w:p>
    <w:p w14:paraId="3C80A492" w14:textId="77777777" w:rsidR="00CB20E0" w:rsidRDefault="003358B6">
      <w:pPr>
        <w:pStyle w:val="af4"/>
        <w:jc w:val="left"/>
      </w:pPr>
      <w:r>
        <w:rPr>
          <w:rFonts w:hint="eastAsia"/>
        </w:rPr>
        <w:lastRenderedPageBreak/>
        <w:t>四、项目实施内容与要求</w:t>
      </w:r>
    </w:p>
    <w:p w14:paraId="2E3638DA" w14:textId="77777777" w:rsidR="00CB20E0" w:rsidRPr="005031F0" w:rsidRDefault="003358B6">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1、</w:t>
      </w:r>
      <w:r w:rsidRPr="005031F0">
        <w:rPr>
          <w:rFonts w:asciiTheme="minorEastAsia" w:eastAsiaTheme="minorEastAsia" w:hAnsiTheme="minorEastAsia" w:cs="宋体"/>
          <w:bCs/>
          <w:sz w:val="24"/>
        </w:rPr>
        <w:t>项目定级备案</w:t>
      </w:r>
    </w:p>
    <w:p w14:paraId="712FC56E"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投标方应梳理现有的信息系</w:t>
      </w:r>
      <w:r>
        <w:rPr>
          <w:rFonts w:asciiTheme="minorEastAsia" w:eastAsiaTheme="minorEastAsia" w:hAnsiTheme="minorEastAsia" w:cs="宋体"/>
          <w:spacing w:val="2"/>
          <w:kern w:val="0"/>
          <w:sz w:val="24"/>
        </w:rPr>
        <w:t>统，严格按照</w:t>
      </w:r>
      <w:r>
        <w:rPr>
          <w:rFonts w:asciiTheme="minorEastAsia" w:eastAsiaTheme="minorEastAsia" w:hAnsiTheme="minorEastAsia" w:cs="宋体" w:hint="eastAsia"/>
          <w:spacing w:val="2"/>
          <w:kern w:val="0"/>
          <w:sz w:val="24"/>
        </w:rPr>
        <w:t>《GB/T 22240-2020信息安全技术 网络安全等级保护定级指南》</w:t>
      </w:r>
      <w:r>
        <w:rPr>
          <w:rFonts w:asciiTheme="minorEastAsia" w:eastAsiaTheme="minorEastAsia" w:hAnsiTheme="minorEastAsia" w:cs="宋体"/>
          <w:spacing w:val="2"/>
          <w:kern w:val="0"/>
          <w:sz w:val="24"/>
        </w:rPr>
        <w:t>的要求，对信息系统的级别进行划定。完成信息系统定级报告及定级材料的准备、整理，完成信息系统去公安机关的备</w:t>
      </w:r>
      <w:r>
        <w:rPr>
          <w:rFonts w:asciiTheme="minorEastAsia" w:eastAsiaTheme="minorEastAsia" w:hAnsiTheme="minorEastAsia" w:cs="宋体"/>
          <w:kern w:val="0"/>
          <w:sz w:val="24"/>
        </w:rPr>
        <w:t>案工作。</w:t>
      </w:r>
    </w:p>
    <w:p w14:paraId="50B5FCAE" w14:textId="77777777" w:rsidR="00CB20E0" w:rsidRPr="005031F0" w:rsidRDefault="003358B6" w:rsidP="005031F0">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2、</w:t>
      </w:r>
      <w:r w:rsidRPr="005031F0">
        <w:rPr>
          <w:rFonts w:asciiTheme="minorEastAsia" w:eastAsiaTheme="minorEastAsia" w:hAnsiTheme="minorEastAsia" w:cs="宋体"/>
          <w:bCs/>
          <w:sz w:val="24"/>
        </w:rPr>
        <w:t>项目测评内容</w:t>
      </w:r>
    </w:p>
    <w:p w14:paraId="70AB7274" w14:textId="77777777" w:rsidR="00CB20E0" w:rsidRDefault="003358B6">
      <w:pPr>
        <w:autoSpaceDE w:val="0"/>
        <w:autoSpaceDN w:val="0"/>
        <w:spacing w:line="360" w:lineRule="auto"/>
        <w:ind w:firstLine="420"/>
        <w:rPr>
          <w:rFonts w:asciiTheme="minorEastAsia" w:eastAsiaTheme="minorEastAsia" w:hAnsiTheme="minorEastAsia" w:cs="宋体"/>
          <w:kern w:val="0"/>
          <w:sz w:val="24"/>
        </w:rPr>
      </w:pPr>
      <w:r>
        <w:rPr>
          <w:rFonts w:asciiTheme="minorEastAsia" w:eastAsiaTheme="minorEastAsia" w:hAnsiTheme="minorEastAsia" w:cs="宋体"/>
          <w:kern w:val="0"/>
          <w:sz w:val="24"/>
        </w:rPr>
        <w:t>根据国家等级保护相关标准</w:t>
      </w:r>
      <w:r>
        <w:rPr>
          <w:rFonts w:asciiTheme="minorEastAsia" w:eastAsiaTheme="minorEastAsia" w:hAnsiTheme="minorEastAsia" w:cs="宋体" w:hint="eastAsia"/>
          <w:kern w:val="0"/>
          <w:sz w:val="24"/>
        </w:rPr>
        <w:t>《GBT22239-2019 网络安全等级保护基本要求》</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对</w:t>
      </w:r>
      <w:r>
        <w:rPr>
          <w:rFonts w:asciiTheme="minorEastAsia" w:eastAsiaTheme="minorEastAsia" w:hAnsiTheme="minorEastAsia" w:cs="宋体"/>
          <w:kern w:val="0"/>
          <w:sz w:val="24"/>
        </w:rPr>
        <w:t>重要信息系统等级保护测评项目应包括以下内容：</w:t>
      </w:r>
    </w:p>
    <w:p w14:paraId="7C52C4C6"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安全技术测评：包括</w:t>
      </w:r>
      <w:r>
        <w:rPr>
          <w:rFonts w:asciiTheme="minorEastAsia" w:eastAsiaTheme="minorEastAsia" w:hAnsiTheme="minorEastAsia" w:cs="宋体" w:hint="eastAsia"/>
          <w:kern w:val="0"/>
          <w:sz w:val="24"/>
        </w:rPr>
        <w:t>安全物理环境、安全通信网络、安全区域边界、安全计算环境、安全管理中心</w:t>
      </w:r>
      <w:r>
        <w:rPr>
          <w:rFonts w:asciiTheme="minorEastAsia" w:eastAsiaTheme="minorEastAsia" w:hAnsiTheme="minorEastAsia" w:cs="宋体"/>
          <w:kern w:val="0"/>
          <w:sz w:val="24"/>
        </w:rPr>
        <w:t>等五个方面的安全测评；</w:t>
      </w:r>
    </w:p>
    <w:p w14:paraId="0E53CADB"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安全管理测评：包括</w:t>
      </w:r>
      <w:r>
        <w:rPr>
          <w:rFonts w:asciiTheme="minorEastAsia" w:eastAsiaTheme="minorEastAsia" w:hAnsiTheme="minorEastAsia" w:cs="宋体" w:hint="eastAsia"/>
          <w:kern w:val="0"/>
          <w:sz w:val="24"/>
        </w:rPr>
        <w:t>安全管理制度、安全管理机构、安全管理人员、安全建设管理、安全运维管理</w:t>
      </w:r>
      <w:r>
        <w:rPr>
          <w:rFonts w:asciiTheme="minorEastAsia" w:eastAsiaTheme="minorEastAsia" w:hAnsiTheme="minorEastAsia" w:cs="宋体"/>
          <w:kern w:val="0"/>
          <w:sz w:val="24"/>
        </w:rPr>
        <w:t>等五个方面的安全测评。</w:t>
      </w:r>
    </w:p>
    <w:p w14:paraId="3F99EED4"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服务内容：</w:t>
      </w:r>
    </w:p>
    <w:p w14:paraId="0F6C087F" w14:textId="55FA48A5"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协助开展系统和重要信息系统的自查自评工作，对存在的风险隐患和安全问题及时提供有针对性的安全整改建议，保障整改措施的落实，完成重要信息系统的定级、备案等相关工作；</w:t>
      </w:r>
    </w:p>
    <w:p w14:paraId="3E8E9C92"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依据《</w:t>
      </w:r>
      <w:r>
        <w:rPr>
          <w:rFonts w:asciiTheme="minorEastAsia" w:eastAsiaTheme="minorEastAsia" w:hAnsiTheme="minorEastAsia" w:cs="宋体" w:hint="eastAsia"/>
          <w:sz w:val="24"/>
        </w:rPr>
        <w:t>网</w:t>
      </w:r>
      <w:r>
        <w:rPr>
          <w:rFonts w:asciiTheme="minorEastAsia" w:eastAsiaTheme="minorEastAsia" w:hAnsiTheme="minorEastAsia" w:cs="宋体"/>
          <w:sz w:val="24"/>
        </w:rPr>
        <w:t>络安全等级保护基本要求》，从安全技术和管理两个方面共十个层面对信息系统进行等级测评，出具等级测评报告；</w:t>
      </w:r>
    </w:p>
    <w:p w14:paraId="00195BDE"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针对信息系统等保测评实施过程中发现的安全隐患和薄弱环节，提供安全建设整改和安全加固方面的咨询。</w:t>
      </w:r>
    </w:p>
    <w:p w14:paraId="67E60A6B"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提供安全服务，及时发现信息系统中存在安全隐患和威胁，进一步开展安全建设整改工作，及时、有效、正确的预防和阻止各种黑客攻击。职责清晰，能快速及时的帮助客户处理网站安全事件。</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2410"/>
        <w:gridCol w:w="5004"/>
      </w:tblGrid>
      <w:tr w:rsidR="00CB20E0" w14:paraId="7DB52C07" w14:textId="77777777">
        <w:trPr>
          <w:trHeight w:val="674"/>
          <w:jc w:val="center"/>
        </w:trPr>
        <w:tc>
          <w:tcPr>
            <w:tcW w:w="1183" w:type="dxa"/>
            <w:vAlign w:val="center"/>
          </w:tcPr>
          <w:p w14:paraId="7F2AA29B"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b/>
                <w:kern w:val="0"/>
                <w:sz w:val="24"/>
                <w:lang w:eastAsia="en-US"/>
              </w:rPr>
              <w:t>项目</w:t>
            </w:r>
            <w:proofErr w:type="spellEnd"/>
          </w:p>
        </w:tc>
        <w:tc>
          <w:tcPr>
            <w:tcW w:w="2410" w:type="dxa"/>
            <w:vAlign w:val="center"/>
          </w:tcPr>
          <w:p w14:paraId="21AD05D4"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hint="eastAsia"/>
                <w:b/>
                <w:kern w:val="0"/>
                <w:sz w:val="24"/>
                <w:lang w:eastAsia="en-US"/>
              </w:rPr>
              <w:t>服务内容</w:t>
            </w:r>
            <w:proofErr w:type="spellEnd"/>
          </w:p>
        </w:tc>
        <w:tc>
          <w:tcPr>
            <w:tcW w:w="5004" w:type="dxa"/>
            <w:vAlign w:val="center"/>
          </w:tcPr>
          <w:p w14:paraId="05C550B0"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hint="eastAsia"/>
                <w:b/>
                <w:kern w:val="0"/>
                <w:sz w:val="24"/>
                <w:lang w:eastAsia="en-US"/>
              </w:rPr>
              <w:t>工作描述</w:t>
            </w:r>
            <w:proofErr w:type="spellEnd"/>
          </w:p>
        </w:tc>
      </w:tr>
      <w:tr w:rsidR="00CB20E0" w14:paraId="1D3D0791" w14:textId="77777777">
        <w:trPr>
          <w:trHeight w:val="854"/>
          <w:jc w:val="center"/>
        </w:trPr>
        <w:tc>
          <w:tcPr>
            <w:tcW w:w="1183" w:type="dxa"/>
            <w:vMerge w:val="restart"/>
            <w:vAlign w:val="center"/>
          </w:tcPr>
          <w:p w14:paraId="2A66FC4F"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kern w:val="0"/>
                <w:sz w:val="24"/>
                <w:lang w:eastAsia="en-US"/>
              </w:rPr>
              <w:t>等级测评</w:t>
            </w:r>
            <w:proofErr w:type="spellEnd"/>
          </w:p>
        </w:tc>
        <w:tc>
          <w:tcPr>
            <w:tcW w:w="2410" w:type="dxa"/>
            <w:vAlign w:val="center"/>
          </w:tcPr>
          <w:p w14:paraId="4BEA2E9A" w14:textId="77777777" w:rsidR="00CB20E0" w:rsidRDefault="003358B6">
            <w:pPr>
              <w:widowControl/>
              <w:autoSpaceDE w:val="0"/>
              <w:autoSpaceDN w:val="0"/>
              <w:spacing w:line="360" w:lineRule="auto"/>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项目准备及现场调研</w:t>
            </w:r>
            <w:proofErr w:type="spellEnd"/>
          </w:p>
        </w:tc>
        <w:tc>
          <w:tcPr>
            <w:tcW w:w="5004" w:type="dxa"/>
            <w:vAlign w:val="center"/>
          </w:tcPr>
          <w:p w14:paraId="720AA3DB"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协助对信息系统物理环境、网络、终端、数据、安全管理等进行调研。</w:t>
            </w:r>
          </w:p>
        </w:tc>
      </w:tr>
      <w:tr w:rsidR="00CB20E0" w14:paraId="3912EE66" w14:textId="77777777">
        <w:trPr>
          <w:trHeight w:val="525"/>
          <w:jc w:val="center"/>
        </w:trPr>
        <w:tc>
          <w:tcPr>
            <w:tcW w:w="1183" w:type="dxa"/>
            <w:vMerge/>
          </w:tcPr>
          <w:p w14:paraId="4957F4A8"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4E51A699"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信息系统定级、备案</w:t>
            </w:r>
            <w:proofErr w:type="spellEnd"/>
          </w:p>
        </w:tc>
        <w:tc>
          <w:tcPr>
            <w:tcW w:w="5004" w:type="dxa"/>
            <w:vAlign w:val="center"/>
          </w:tcPr>
          <w:p w14:paraId="2D71260E"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疏理信息系统定级工作，完成信息系统定级报告及定级材料的准备；</w:t>
            </w:r>
          </w:p>
          <w:p w14:paraId="68CDC532"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整理、补充信息系统备案所有相关的文档，完成相应信息系统等级保护备案工作。</w:t>
            </w:r>
          </w:p>
        </w:tc>
      </w:tr>
      <w:tr w:rsidR="00CB20E0" w14:paraId="6A608214" w14:textId="77777777">
        <w:trPr>
          <w:trHeight w:val="724"/>
          <w:jc w:val="center"/>
        </w:trPr>
        <w:tc>
          <w:tcPr>
            <w:tcW w:w="1183" w:type="dxa"/>
            <w:vMerge/>
          </w:tcPr>
          <w:p w14:paraId="265093BA"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7C4003C9"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信息系统差距分析</w:t>
            </w:r>
            <w:proofErr w:type="spellEnd"/>
          </w:p>
        </w:tc>
        <w:tc>
          <w:tcPr>
            <w:tcW w:w="5004" w:type="dxa"/>
            <w:vAlign w:val="center"/>
          </w:tcPr>
          <w:p w14:paraId="3EDE1F38"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对定级的信息系统，依照《网络安全等级保护基本要求》进行逐个对照，分析信息系统安全情况与等级保护基本要求的差距，完成信息系统等级保护差距分析报告。</w:t>
            </w:r>
          </w:p>
        </w:tc>
      </w:tr>
      <w:tr w:rsidR="00CB20E0" w14:paraId="4201C77F" w14:textId="77777777">
        <w:trPr>
          <w:trHeight w:val="675"/>
          <w:jc w:val="center"/>
        </w:trPr>
        <w:tc>
          <w:tcPr>
            <w:tcW w:w="1183" w:type="dxa"/>
            <w:vMerge/>
          </w:tcPr>
          <w:p w14:paraId="136B3832"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1357A478"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等级保护安全整改</w:t>
            </w:r>
            <w:proofErr w:type="spellEnd"/>
          </w:p>
        </w:tc>
        <w:tc>
          <w:tcPr>
            <w:tcW w:w="5004" w:type="dxa"/>
            <w:vAlign w:val="center"/>
          </w:tcPr>
          <w:p w14:paraId="244D3BF4"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协助落实相关的等级保护建设整改工作，等级保护整改实施具体内容包括安全管理制度修订、安全技术整改、形成安全配置基线、辅助进行安全增强配置和调试工作、实施等保相关培训、安全风险管理工作落实等工作内容，提升信息系统的安全防护能力，确保信息系统满足国家等级保护相应等级要求。</w:t>
            </w:r>
          </w:p>
        </w:tc>
      </w:tr>
      <w:tr w:rsidR="00CB20E0" w14:paraId="006D7090" w14:textId="77777777">
        <w:trPr>
          <w:trHeight w:val="1938"/>
          <w:jc w:val="center"/>
        </w:trPr>
        <w:tc>
          <w:tcPr>
            <w:tcW w:w="1183" w:type="dxa"/>
            <w:vMerge/>
            <w:vAlign w:val="center"/>
          </w:tcPr>
          <w:p w14:paraId="594F3464"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4E99D7B0"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等级保护测评</w:t>
            </w:r>
            <w:proofErr w:type="spellEnd"/>
          </w:p>
        </w:tc>
        <w:tc>
          <w:tcPr>
            <w:tcW w:w="5004" w:type="dxa"/>
            <w:vAlign w:val="center"/>
          </w:tcPr>
          <w:p w14:paraId="7EF46256"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参</w:t>
            </w:r>
            <w:r>
              <w:rPr>
                <w:rFonts w:asciiTheme="minorEastAsia" w:eastAsiaTheme="minorEastAsia" w:hAnsiTheme="minorEastAsia" w:cs="宋体" w:hint="eastAsia"/>
                <w:kern w:val="0"/>
                <w:sz w:val="24"/>
              </w:rPr>
              <w:t>照《GBT22239-2019 网络安全等级保护基本要求》和《GB/T28448-2019 网络安全等级保护测评要求》等标准</w:t>
            </w:r>
            <w:r>
              <w:rPr>
                <w:rFonts w:asciiTheme="minorEastAsia" w:eastAsiaTheme="minorEastAsia" w:hAnsiTheme="minorEastAsia" w:cs="宋体"/>
                <w:kern w:val="0"/>
                <w:sz w:val="24"/>
              </w:rPr>
              <w:t>规范要求，对</w:t>
            </w:r>
            <w:r>
              <w:rPr>
                <w:rFonts w:asciiTheme="minorEastAsia" w:eastAsiaTheme="minorEastAsia" w:hAnsiTheme="minorEastAsia" w:cs="宋体" w:hint="eastAsia"/>
                <w:kern w:val="0"/>
                <w:sz w:val="24"/>
              </w:rPr>
              <w:t>信息系统</w:t>
            </w:r>
            <w:r>
              <w:rPr>
                <w:rFonts w:asciiTheme="minorEastAsia" w:eastAsiaTheme="minorEastAsia" w:hAnsiTheme="minorEastAsia" w:cs="宋体"/>
                <w:kern w:val="0"/>
                <w:sz w:val="24"/>
              </w:rPr>
              <w:t>开展信息系统等级保护测评工作</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 xml:space="preserve"> </w:t>
            </w:r>
          </w:p>
        </w:tc>
      </w:tr>
      <w:tr w:rsidR="00CB20E0" w14:paraId="2F6558B0" w14:textId="77777777">
        <w:trPr>
          <w:trHeight w:val="974"/>
          <w:jc w:val="center"/>
        </w:trPr>
        <w:tc>
          <w:tcPr>
            <w:tcW w:w="1183" w:type="dxa"/>
            <w:vMerge/>
            <w:vAlign w:val="center"/>
          </w:tcPr>
          <w:p w14:paraId="0183E669"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3C2AF00F"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成果</w:t>
            </w:r>
            <w:proofErr w:type="spellEnd"/>
          </w:p>
        </w:tc>
        <w:tc>
          <w:tcPr>
            <w:tcW w:w="5004" w:type="dxa"/>
            <w:vAlign w:val="center"/>
          </w:tcPr>
          <w:p w14:paraId="56485157"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服务目标为：协助用户取得公安机关备案证明</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通过公安部门的等级保护检查，</w:t>
            </w:r>
            <w:r>
              <w:rPr>
                <w:rFonts w:asciiTheme="minorEastAsia" w:eastAsiaTheme="minorEastAsia" w:hAnsiTheme="minorEastAsia" w:cs="宋体" w:hint="eastAsia"/>
                <w:kern w:val="0"/>
                <w:sz w:val="24"/>
              </w:rPr>
              <w:t>输出《信息系统等级保护测评报告》。</w:t>
            </w:r>
          </w:p>
        </w:tc>
      </w:tr>
    </w:tbl>
    <w:p w14:paraId="5E0828DC" w14:textId="77777777" w:rsidR="00CB20E0" w:rsidRDefault="00CB20E0">
      <w:pPr>
        <w:numPr>
          <w:ilvl w:val="1"/>
          <w:numId w:val="8"/>
        </w:numPr>
        <w:tabs>
          <w:tab w:val="left" w:pos="634"/>
        </w:tabs>
        <w:autoSpaceDE w:val="0"/>
        <w:autoSpaceDN w:val="0"/>
        <w:spacing w:line="360" w:lineRule="auto"/>
        <w:ind w:left="147" w:firstLineChars="200" w:firstLine="489"/>
        <w:jc w:val="left"/>
        <w:rPr>
          <w:rFonts w:asciiTheme="minorEastAsia" w:eastAsiaTheme="minorEastAsia" w:hAnsiTheme="minorEastAsia" w:cs="宋体"/>
          <w:b/>
          <w:bCs/>
          <w:sz w:val="24"/>
        </w:rPr>
      </w:pPr>
    </w:p>
    <w:p w14:paraId="7A14605A" w14:textId="77777777" w:rsidR="00CB20E0" w:rsidRPr="005031F0" w:rsidRDefault="003358B6" w:rsidP="005031F0">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3、测评要求</w:t>
      </w:r>
    </w:p>
    <w:p w14:paraId="0B6203F0" w14:textId="77777777" w:rsidR="0040612D"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（1）安全物理环境</w:t>
      </w:r>
    </w:p>
    <w:p w14:paraId="7AC15421" w14:textId="7DC1B5A2"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物理安全测评是对信息系统的机房和办公场所的物理位置选择</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物理访问控制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防盗窃和防破坏</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防雷击</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w:t>
      </w:r>
      <w:r>
        <w:rPr>
          <w:rFonts w:asciiTheme="minorEastAsia" w:eastAsiaTheme="minorEastAsia" w:hAnsiTheme="minorEastAsia" w:cs="宋体" w:hint="eastAsia"/>
          <w:kern w:val="0"/>
          <w:sz w:val="24"/>
        </w:rPr>
        <w:t>火、</w:t>
      </w:r>
      <w:r>
        <w:rPr>
          <w:rFonts w:asciiTheme="minorEastAsia" w:eastAsiaTheme="minorEastAsia" w:hAnsiTheme="minorEastAsia" w:cs="宋体"/>
          <w:kern w:val="0"/>
          <w:sz w:val="24"/>
        </w:rPr>
        <w:t>防水和防潮</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防静电</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温湿度控制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电力供应</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电磁防护等方面的安全状况。</w:t>
      </w:r>
    </w:p>
    <w:p w14:paraId="65C56481"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（2）安全通信网络</w:t>
      </w:r>
    </w:p>
    <w:p w14:paraId="60ADA611"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网络安全测评是对信息系统的网络系统安全防护情况进行测评，包括网络结构安全、网络访问控制、网络安全审计、网络边界完整性测评、网络入侵防范、网络恶意代</w:t>
      </w:r>
      <w:r>
        <w:rPr>
          <w:rFonts w:asciiTheme="minorEastAsia" w:eastAsiaTheme="minorEastAsia" w:hAnsiTheme="minorEastAsia" w:cs="宋体"/>
          <w:kern w:val="0"/>
          <w:sz w:val="24"/>
        </w:rPr>
        <w:lastRenderedPageBreak/>
        <w:t>码防范、网络设备防护等方面的安全状况。</w:t>
      </w:r>
    </w:p>
    <w:p w14:paraId="00C8C806" w14:textId="22BEC694" w:rsidR="00CB20E0" w:rsidRDefault="0040612D" w:rsidP="0040612D">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3358B6">
        <w:rPr>
          <w:rFonts w:asciiTheme="minorEastAsia" w:eastAsiaTheme="minorEastAsia" w:hAnsiTheme="minorEastAsia" w:cs="宋体" w:hint="eastAsia"/>
          <w:kern w:val="0"/>
          <w:sz w:val="24"/>
        </w:rPr>
        <w:t>安全区域边界</w:t>
      </w:r>
    </w:p>
    <w:p w14:paraId="31AE4C9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安全区域边界</w:t>
      </w:r>
      <w:r>
        <w:rPr>
          <w:rFonts w:asciiTheme="minorEastAsia" w:eastAsiaTheme="minorEastAsia" w:hAnsiTheme="minorEastAsia" w:cs="宋体"/>
          <w:kern w:val="0"/>
          <w:sz w:val="24"/>
        </w:rPr>
        <w:t>是对信息系</w:t>
      </w:r>
      <w:r>
        <w:rPr>
          <w:rFonts w:asciiTheme="minorEastAsia" w:eastAsiaTheme="minorEastAsia" w:hAnsiTheme="minorEastAsia" w:cs="宋体" w:hint="eastAsia"/>
          <w:kern w:val="0"/>
          <w:sz w:val="24"/>
        </w:rPr>
        <w:t>统的边界防护、访问控制、入侵防范、恶意代码和垃圾邮件防范、安全审计、可信验证等方面的安全</w:t>
      </w:r>
      <w:r>
        <w:rPr>
          <w:rFonts w:asciiTheme="minorEastAsia" w:eastAsiaTheme="minorEastAsia" w:hAnsiTheme="minorEastAsia" w:cs="宋体"/>
          <w:kern w:val="0"/>
          <w:sz w:val="24"/>
        </w:rPr>
        <w:t>状况。</w:t>
      </w:r>
    </w:p>
    <w:p w14:paraId="06BD48D4"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（4）安全计算环境</w:t>
      </w:r>
    </w:p>
    <w:p w14:paraId="269F9152"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安全计算环境</w:t>
      </w:r>
      <w:r>
        <w:rPr>
          <w:rFonts w:asciiTheme="minorEastAsia" w:eastAsiaTheme="minorEastAsia" w:hAnsiTheme="minorEastAsia" w:cs="宋体"/>
          <w:kern w:val="0"/>
          <w:sz w:val="24"/>
        </w:rPr>
        <w:t>是对信息系统的身份鉴别</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访问控制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安全审计</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入侵防范</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恶意代码防范</w:t>
      </w:r>
      <w:r>
        <w:rPr>
          <w:rFonts w:asciiTheme="minorEastAsia" w:eastAsiaTheme="minorEastAsia" w:hAnsiTheme="minorEastAsia" w:cs="宋体" w:hint="eastAsia"/>
          <w:kern w:val="0"/>
          <w:sz w:val="24"/>
        </w:rPr>
        <w:t>、可信验证、数据完整性、数据保密性、数据备份恢复、剩余信息保护、个人信息保护</w:t>
      </w:r>
      <w:r>
        <w:rPr>
          <w:rFonts w:asciiTheme="minorEastAsia" w:eastAsiaTheme="minorEastAsia" w:hAnsiTheme="minorEastAsia" w:cs="宋体"/>
          <w:kern w:val="0"/>
          <w:sz w:val="24"/>
        </w:rPr>
        <w:t>等方面的安全状况。</w:t>
      </w:r>
    </w:p>
    <w:p w14:paraId="5296BDA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（5）安全管理中心</w:t>
      </w:r>
    </w:p>
    <w:p w14:paraId="7BF5D2F1"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安全管理中心</w:t>
      </w:r>
      <w:r>
        <w:rPr>
          <w:rFonts w:asciiTheme="minorEastAsia" w:eastAsiaTheme="minorEastAsia" w:hAnsiTheme="minorEastAsia" w:cs="宋体"/>
          <w:kern w:val="0"/>
          <w:sz w:val="24"/>
        </w:rPr>
        <w:t>是对信息系统的</w:t>
      </w:r>
      <w:r>
        <w:rPr>
          <w:rFonts w:asciiTheme="minorEastAsia" w:eastAsiaTheme="minorEastAsia" w:hAnsiTheme="minorEastAsia" w:cs="宋体" w:hint="eastAsia"/>
          <w:kern w:val="0"/>
          <w:sz w:val="24"/>
        </w:rPr>
        <w:t>系统管理、审计管理、安全管理、集中管控</w:t>
      </w:r>
      <w:r>
        <w:rPr>
          <w:rFonts w:asciiTheme="minorEastAsia" w:eastAsiaTheme="minorEastAsia" w:hAnsiTheme="minorEastAsia" w:cs="宋体"/>
          <w:kern w:val="0"/>
          <w:sz w:val="24"/>
        </w:rPr>
        <w:t>进行测评。</w:t>
      </w:r>
    </w:p>
    <w:p w14:paraId="20AA5D0A"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kern w:val="0"/>
          <w:sz w:val="24"/>
        </w:rPr>
        <w:t>安全管理制度</w:t>
      </w:r>
    </w:p>
    <w:p w14:paraId="42C01B47"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安全管理制度测评是对信息系统的安全策略</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管理制度</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制定和发布</w:t>
      </w:r>
      <w:r>
        <w:rPr>
          <w:rFonts w:asciiTheme="minorEastAsia" w:eastAsiaTheme="minorEastAsia" w:hAnsiTheme="minorEastAsia" w:cs="宋体" w:hint="eastAsia"/>
          <w:kern w:val="0"/>
          <w:sz w:val="24"/>
        </w:rPr>
        <w:t>、评审和</w:t>
      </w:r>
      <w:r>
        <w:rPr>
          <w:rFonts w:asciiTheme="minorEastAsia" w:eastAsiaTheme="minorEastAsia" w:hAnsiTheme="minorEastAsia" w:cs="宋体"/>
          <w:kern w:val="0"/>
          <w:sz w:val="24"/>
        </w:rPr>
        <w:t>修订等情况进行测评。</w:t>
      </w:r>
    </w:p>
    <w:p w14:paraId="5EE35A0B"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（7）安全管理机构</w:t>
      </w:r>
    </w:p>
    <w:p w14:paraId="53023D60"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安全管理机构测评是对信息系统的岗位设置</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人员配备</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授权与审批</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沟通和合作</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审核和检查等情况进行测评。</w:t>
      </w:r>
    </w:p>
    <w:p w14:paraId="17F95C80"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（8）安全管理人员</w:t>
      </w:r>
    </w:p>
    <w:p w14:paraId="545E5F0F"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人员安全管理测评是对信息系统相关内部人员的</w:t>
      </w:r>
      <w:r>
        <w:rPr>
          <w:rFonts w:asciiTheme="minorEastAsia" w:eastAsiaTheme="minorEastAsia" w:hAnsiTheme="minorEastAsia" w:cs="宋体" w:hint="eastAsia"/>
          <w:kern w:val="0"/>
          <w:sz w:val="24"/>
        </w:rPr>
        <w:t>人员</w:t>
      </w:r>
      <w:r>
        <w:rPr>
          <w:rFonts w:asciiTheme="minorEastAsia" w:eastAsiaTheme="minorEastAsia" w:hAnsiTheme="minorEastAsia" w:cs="宋体"/>
          <w:kern w:val="0"/>
          <w:sz w:val="24"/>
        </w:rPr>
        <w:t>录用</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人员离岗安全意识教育和培训</w:t>
      </w:r>
      <w:r>
        <w:rPr>
          <w:rFonts w:asciiTheme="minorEastAsia" w:eastAsiaTheme="minorEastAsia" w:hAnsiTheme="minorEastAsia" w:cs="宋体" w:hint="eastAsia"/>
          <w:kern w:val="0"/>
          <w:sz w:val="24"/>
        </w:rPr>
        <w:t>、外部人员访问管理</w:t>
      </w:r>
      <w:r>
        <w:rPr>
          <w:rFonts w:asciiTheme="minorEastAsia" w:eastAsiaTheme="minorEastAsia" w:hAnsiTheme="minorEastAsia" w:cs="宋体"/>
          <w:kern w:val="0"/>
          <w:sz w:val="24"/>
        </w:rPr>
        <w:t>等情况进行测评。</w:t>
      </w:r>
    </w:p>
    <w:p w14:paraId="4371A40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（9）安全建设管理</w:t>
      </w:r>
    </w:p>
    <w:p w14:paraId="79ADA73B"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系统建设管理测评是对信息系统建设过程中的</w:t>
      </w:r>
      <w:r>
        <w:rPr>
          <w:rFonts w:asciiTheme="minorEastAsia" w:eastAsiaTheme="minorEastAsia" w:hAnsiTheme="minorEastAsia" w:cs="宋体" w:hint="eastAsia"/>
          <w:kern w:val="0"/>
          <w:sz w:val="24"/>
        </w:rPr>
        <w:t>、测试验收、</w:t>
      </w:r>
      <w:r>
        <w:rPr>
          <w:rFonts w:asciiTheme="minorEastAsia" w:eastAsiaTheme="minorEastAsia" w:hAnsiTheme="minorEastAsia" w:cs="宋体"/>
          <w:kern w:val="0"/>
          <w:sz w:val="24"/>
        </w:rPr>
        <w:t>系统交付</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等级测评服务供应商管理等情况进行测评。</w:t>
      </w:r>
    </w:p>
    <w:p w14:paraId="15F57FB7"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（10）安全运维管理</w:t>
      </w:r>
    </w:p>
    <w:p w14:paraId="06315DEF"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系统运维管理测评是对信息系统运行维护过程中的环境管理</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资产管理</w:t>
      </w:r>
      <w:r>
        <w:rPr>
          <w:rFonts w:asciiTheme="minorEastAsia" w:eastAsiaTheme="minorEastAsia" w:hAnsiTheme="minorEastAsia" w:cs="宋体" w:hint="eastAsia"/>
          <w:kern w:val="0"/>
          <w:sz w:val="24"/>
        </w:rPr>
        <w:t>、介质管理、设备维护管理、漏洞和风险管理、网络和系统安全管理、恶意代码防范管理、配置管理、密码管理、变更管理、备份与恢复管理、安全事件处置、应急预案管理、外包运维管理</w:t>
      </w:r>
      <w:r>
        <w:rPr>
          <w:rFonts w:asciiTheme="minorEastAsia" w:eastAsiaTheme="minorEastAsia" w:hAnsiTheme="minorEastAsia" w:cs="宋体"/>
          <w:kern w:val="0"/>
          <w:sz w:val="24"/>
        </w:rPr>
        <w:t>等情况进行测评。</w:t>
      </w:r>
    </w:p>
    <w:p w14:paraId="2EED541F" w14:textId="77777777" w:rsidR="00CB20E0" w:rsidRDefault="003358B6">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bCs/>
          <w:sz w:val="24"/>
        </w:rPr>
        <w:t>测评风险规避要求</w:t>
      </w:r>
    </w:p>
    <w:p w14:paraId="61C0E8E0"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项目开展工作涉及到单位重要信息系统和数据，在测评过程中必须加强安全保密管理与风险控制。</w:t>
      </w:r>
    </w:p>
    <w:p w14:paraId="40B2BB62"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指定项目经理为专人负责信息安全测评过程中的安全保密管理工作，对测评活动、测评人员以及相关文档和数据进行安全保密管理，对重点设备的技术检测进行监督，对接入的检测设备进行控制。</w:t>
      </w:r>
    </w:p>
    <w:p w14:paraId="23CB688F"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安全测评工作中可能出现的安全风险点，按照检测对象周密制定测评方法，根据被测评对象的不同采取相应的风险控制手段。不限于以下方法：</w:t>
      </w:r>
    </w:p>
    <w:p w14:paraId="4D76F424"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操作的申请和监护</w:t>
      </w:r>
    </w:p>
    <w:p w14:paraId="6780D9C6"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在实施过程中必须遵守的相关操作章程，以防止敏感信息泄漏和确保及时处理意外事件。</w:t>
      </w:r>
    </w:p>
    <w:p w14:paraId="552F72D2"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（2）</w:t>
      </w:r>
      <w:proofErr w:type="spellStart"/>
      <w:r>
        <w:rPr>
          <w:rFonts w:asciiTheme="minorEastAsia" w:eastAsiaTheme="minorEastAsia" w:hAnsiTheme="minorEastAsia" w:cs="宋体"/>
          <w:kern w:val="0"/>
          <w:sz w:val="24"/>
          <w:lang w:eastAsia="en-US"/>
        </w:rPr>
        <w:t>操作时间控制</w:t>
      </w:r>
      <w:proofErr w:type="spellEnd"/>
    </w:p>
    <w:p w14:paraId="1854BFBA"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对测评直接影响系统工作时，尽可能避开敏感时期。</w:t>
      </w:r>
    </w:p>
    <w:p w14:paraId="064C0975"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（3）</w:t>
      </w:r>
      <w:proofErr w:type="spellStart"/>
      <w:r>
        <w:rPr>
          <w:rFonts w:asciiTheme="minorEastAsia" w:eastAsiaTheme="minorEastAsia" w:hAnsiTheme="minorEastAsia" w:cs="宋体"/>
          <w:kern w:val="0"/>
          <w:sz w:val="24"/>
          <w:lang w:eastAsia="en-US"/>
        </w:rPr>
        <w:t>人员与数据管理</w:t>
      </w:r>
      <w:proofErr w:type="spellEnd"/>
    </w:p>
    <w:p w14:paraId="2E137A8A"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必须高度重视信息保密工作，加强资料管理，确保人员可靠、稳定和可控。测评与被测评单位之间应签署长期保密协议，测评人员与被测评单位之间也要有相应的约束和控制措施，按国家有关要求做好保密工作。</w:t>
      </w:r>
    </w:p>
    <w:p w14:paraId="3C50B9FA"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（4）</w:t>
      </w:r>
      <w:proofErr w:type="spellStart"/>
      <w:r>
        <w:rPr>
          <w:rFonts w:asciiTheme="minorEastAsia" w:eastAsiaTheme="minorEastAsia" w:hAnsiTheme="minorEastAsia" w:cs="宋体"/>
          <w:kern w:val="0"/>
          <w:sz w:val="24"/>
          <w:lang w:eastAsia="en-US"/>
        </w:rPr>
        <w:t>制定应急预案</w:t>
      </w:r>
      <w:proofErr w:type="spellEnd"/>
    </w:p>
    <w:p w14:paraId="7FFB8E59"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根据测评范围界定的系统情况，在实施前制定应急预案。</w:t>
      </w:r>
    </w:p>
    <w:p w14:paraId="7090E710"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关键业务系统风险控制</w:t>
      </w:r>
    </w:p>
    <w:p w14:paraId="01FD3F09"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对影响较大的重要关键业务系统在无法搭建模拟环境情况下，原则上不采用测评工具，采用访谈、测评和简单测试的方式进行。</w:t>
      </w:r>
    </w:p>
    <w:p w14:paraId="6B67F73C"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kern w:val="0"/>
          <w:sz w:val="24"/>
        </w:rPr>
        <w:t>优化扫描策略</w:t>
      </w:r>
    </w:p>
    <w:p w14:paraId="0E84B722"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分类扫描:对不同的主机和设备类型执行不同的扫描会话，从而减少不必要的脆弱项目测试。针对扫描对象细化扫描策略：对不同类型的主机或设备，需要根据其上不同的应用和服务情况，有针对性地定制扫描策略选项</w:t>
      </w:r>
      <w:r>
        <w:rPr>
          <w:rFonts w:asciiTheme="minorEastAsia" w:eastAsiaTheme="minorEastAsia" w:hAnsiTheme="minorEastAsia" w:cs="宋体" w:hint="eastAsia"/>
          <w:kern w:val="0"/>
          <w:sz w:val="24"/>
        </w:rPr>
        <w:t>。</w:t>
      </w:r>
    </w:p>
    <w:p w14:paraId="147240FC"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kern w:val="0"/>
          <w:sz w:val="24"/>
        </w:rPr>
        <w:t>数据备份与恢复</w:t>
      </w:r>
    </w:p>
    <w:p w14:paraId="7E33CEC5"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b/>
          <w:bCs/>
          <w:kern w:val="0"/>
          <w:sz w:val="24"/>
        </w:rPr>
      </w:pPr>
      <w:r>
        <w:rPr>
          <w:rFonts w:asciiTheme="minorEastAsia" w:eastAsiaTheme="minorEastAsia" w:hAnsiTheme="minorEastAsia" w:cs="宋体"/>
          <w:kern w:val="0"/>
          <w:sz w:val="24"/>
        </w:rPr>
        <w:t>对业务系统和数据库主机，应对其上数据进行备份，防止测评过程中对设备与主机的损伤影响业务系统的正常运行。</w:t>
      </w:r>
    </w:p>
    <w:p w14:paraId="249069DB" w14:textId="77777777" w:rsidR="00CB20E0" w:rsidRDefault="003358B6">
      <w:pPr>
        <w:numPr>
          <w:ilvl w:val="1"/>
          <w:numId w:val="8"/>
        </w:numPr>
        <w:autoSpaceDE w:val="0"/>
        <w:autoSpaceDN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5、整改实施内容</w:t>
      </w:r>
    </w:p>
    <w:p w14:paraId="5339CE00"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投标方严格按照差距</w:t>
      </w:r>
      <w:r>
        <w:rPr>
          <w:rFonts w:asciiTheme="minorEastAsia" w:eastAsiaTheme="minorEastAsia" w:hAnsiTheme="minorEastAsia" w:cs="宋体"/>
          <w:kern w:val="0"/>
          <w:sz w:val="24"/>
        </w:rPr>
        <w:t>分析报告内容，落实相关的等级保护建设整改工作，等级保护整改实施具体内容包括安全管理制度修订、安全技术整改、形成安全配置基线、进行安全增强配置和调试工作、实施等保相关培训、安全风险管理工作落实等工作内容，提升信息系统的安全防护能力，确保信息系统满足国家等级保护相应等级要求。</w:t>
      </w:r>
    </w:p>
    <w:p w14:paraId="6BA0AEDD" w14:textId="77777777" w:rsidR="00CB20E0" w:rsidRDefault="003358B6">
      <w:pPr>
        <w:numPr>
          <w:ilvl w:val="1"/>
          <w:numId w:val="8"/>
        </w:numPr>
        <w:autoSpaceDE w:val="0"/>
        <w:autoSpaceDN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6、汇总项目材料并验收</w:t>
      </w:r>
    </w:p>
    <w:p w14:paraId="0E613E76"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投标方对整改后的内容进行最终确认，并汇总信息系统等级保护测评报告，完成公安机关的材料报备，取得信息系统备案证明。</w:t>
      </w:r>
    </w:p>
    <w:p w14:paraId="3776D92D" w14:textId="77777777" w:rsidR="00643F38" w:rsidRDefault="003358B6" w:rsidP="00643F38">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投标方汇总等级保护测评阶段性文档（不限于定级备案材料、差距分析报告、整改实施方案、测评报告、备案证明等），保证通过评审及验收</w:t>
      </w:r>
      <w:r>
        <w:rPr>
          <w:rFonts w:asciiTheme="minorEastAsia" w:eastAsiaTheme="minorEastAsia" w:hAnsiTheme="minorEastAsia" w:cs="宋体" w:hint="eastAsia"/>
          <w:kern w:val="0"/>
          <w:sz w:val="24"/>
        </w:rPr>
        <w:t>。</w:t>
      </w:r>
    </w:p>
    <w:p w14:paraId="39322878" w14:textId="79B8F7C9" w:rsidR="00643F38" w:rsidRPr="005031F0" w:rsidRDefault="005031F0" w:rsidP="005031F0">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sidR="00643F38" w:rsidRPr="005031F0">
        <w:rPr>
          <w:rFonts w:asciiTheme="minorEastAsia" w:eastAsiaTheme="minorEastAsia" w:hAnsiTheme="minorEastAsia" w:cs="宋体" w:hint="eastAsia"/>
          <w:bCs/>
          <w:sz w:val="24"/>
        </w:rPr>
        <w:t>互联网资产服务</w:t>
      </w:r>
    </w:p>
    <w:p w14:paraId="5447612E" w14:textId="77777777" w:rsidR="00643F38" w:rsidRPr="005031F0" w:rsidRDefault="00643F38" w:rsidP="005031F0">
      <w:pPr>
        <w:autoSpaceDE w:val="0"/>
        <w:autoSpaceDN w:val="0"/>
        <w:spacing w:line="360" w:lineRule="auto"/>
        <w:ind w:firstLineChars="200" w:firstLine="480"/>
        <w:rPr>
          <w:rFonts w:asciiTheme="minorEastAsia" w:eastAsiaTheme="minorEastAsia" w:hAnsiTheme="minorEastAsia" w:cs="宋体"/>
          <w:kern w:val="0"/>
          <w:sz w:val="24"/>
        </w:rPr>
      </w:pPr>
      <w:r w:rsidRPr="005031F0">
        <w:rPr>
          <w:rFonts w:asciiTheme="minorEastAsia" w:eastAsiaTheme="minorEastAsia" w:hAnsiTheme="minorEastAsia" w:cs="宋体" w:hint="eastAsia"/>
          <w:kern w:val="0"/>
          <w:sz w:val="24"/>
        </w:rPr>
        <w:t>基于梳理好的互联网资产，提供一年不少于2次的检测服务，包含WEB漏洞、主机漏洞、安全事件、文件泄露、可用性、弱口令、高危服务等。供应商将检测结果形成纸质的检测报告，加盖供应商公章后递交给采购人。同时将梳理好的互联网资产根据算法自动评估出互联网资产风险值，在每次检测服务完成后，通过平台展示资产风险情况，提供风险值变化趋势分析及资产风险值TOP排名，服务单位可通过微信公众号进行安全事件、域名有效期、证书有效期的推送。（供应商提供推送服务的功能截图，加盖供应商公章。）</w:t>
      </w:r>
    </w:p>
    <w:p w14:paraId="5167F687" w14:textId="77777777" w:rsidR="00643F38" w:rsidRPr="005031F0" w:rsidRDefault="00643F38" w:rsidP="005031F0">
      <w:pPr>
        <w:autoSpaceDE w:val="0"/>
        <w:autoSpaceDN w:val="0"/>
        <w:spacing w:line="360" w:lineRule="auto"/>
        <w:ind w:firstLineChars="200" w:firstLine="480"/>
        <w:rPr>
          <w:rFonts w:asciiTheme="minorEastAsia" w:eastAsiaTheme="minorEastAsia" w:hAnsiTheme="minorEastAsia" w:cs="宋体"/>
          <w:kern w:val="0"/>
          <w:sz w:val="24"/>
        </w:rPr>
      </w:pPr>
      <w:r w:rsidRPr="005031F0">
        <w:rPr>
          <w:rFonts w:asciiTheme="minorEastAsia" w:eastAsiaTheme="minorEastAsia" w:hAnsiTheme="minorEastAsia" w:cs="宋体" w:hint="eastAsia"/>
          <w:kern w:val="0"/>
          <w:sz w:val="24"/>
        </w:rPr>
        <w:t>支持展示当前最新的检测结果中新增WEB/主机漏洞和本次被修复的WEB/主机漏洞、新增弱口令和本次被修复的弱口令；支持展示客户当前环境的主机中存在的高危端口服务的检测结果；支持展示用户安全事件发现的变化趋势。（提供此项功能性截图证明文件并加盖供应商公章）</w:t>
      </w:r>
    </w:p>
    <w:p w14:paraId="1C698A90" w14:textId="17A8D516" w:rsidR="00643F38" w:rsidRPr="005031F0" w:rsidRDefault="005031F0" w:rsidP="005031F0">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sidR="00643F38" w:rsidRPr="005031F0">
        <w:rPr>
          <w:rFonts w:asciiTheme="minorEastAsia" w:eastAsiaTheme="minorEastAsia" w:hAnsiTheme="minorEastAsia" w:cs="宋体" w:hint="eastAsia"/>
          <w:bCs/>
          <w:sz w:val="24"/>
        </w:rPr>
        <w:t>渗透测试服务</w:t>
      </w:r>
    </w:p>
    <w:p w14:paraId="17F570E9" w14:textId="4DD5A1E7"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643F38" w:rsidRPr="005031F0">
        <w:rPr>
          <w:rFonts w:asciiTheme="minorEastAsia" w:eastAsiaTheme="minorEastAsia" w:hAnsiTheme="minorEastAsia" w:cs="宋体"/>
          <w:kern w:val="0"/>
          <w:sz w:val="24"/>
        </w:rPr>
        <w:t>对</w:t>
      </w:r>
      <w:r w:rsidR="00643F38" w:rsidRPr="005031F0">
        <w:rPr>
          <w:rFonts w:asciiTheme="minorEastAsia" w:eastAsiaTheme="minorEastAsia" w:hAnsiTheme="minorEastAsia" w:cs="宋体" w:hint="eastAsia"/>
          <w:kern w:val="0"/>
          <w:sz w:val="24"/>
        </w:rPr>
        <w:t>测评的</w:t>
      </w:r>
      <w:r w:rsidR="00643F38" w:rsidRPr="005031F0">
        <w:rPr>
          <w:rFonts w:asciiTheme="minorEastAsia" w:eastAsiaTheme="minorEastAsia" w:hAnsiTheme="minorEastAsia" w:cs="宋体"/>
          <w:kern w:val="0"/>
          <w:sz w:val="24"/>
        </w:rPr>
        <w:t>业务系统进行渗透测试，渗透测试应至少包括但不限于WEB 应用系统渗透、主机操作系统渗透、数据库系统渗透。</w:t>
      </w:r>
    </w:p>
    <w:p w14:paraId="3DF94FC5" w14:textId="65956FEA"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643F38" w:rsidRPr="005031F0">
        <w:rPr>
          <w:rFonts w:asciiTheme="minorEastAsia" w:eastAsiaTheme="minorEastAsia" w:hAnsiTheme="minorEastAsia" w:cs="宋体"/>
          <w:kern w:val="0"/>
          <w:sz w:val="24"/>
        </w:rPr>
        <w:t>渗透测试方法需模拟黑客入侵思路与技术手段，以人工渗透为主，工具为辅，工具包括但不局限于：信息收集工具、漏洞扫描工具、口令猜测工具、脚本测试工具等。</w:t>
      </w:r>
    </w:p>
    <w:p w14:paraId="20760A17" w14:textId="03DCA2DB"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643F38" w:rsidRPr="005031F0">
        <w:rPr>
          <w:rFonts w:asciiTheme="minorEastAsia" w:eastAsiaTheme="minorEastAsia" w:hAnsiTheme="minorEastAsia" w:cs="宋体"/>
          <w:kern w:val="0"/>
          <w:sz w:val="24"/>
        </w:rPr>
        <w:t>渗透测试大项包括但不局限于：配置管理、身份鉴别、认证授权、会话管理、输</w:t>
      </w:r>
      <w:r w:rsidR="00643F38" w:rsidRPr="005031F0">
        <w:rPr>
          <w:rFonts w:asciiTheme="minorEastAsia" w:eastAsiaTheme="minorEastAsia" w:hAnsiTheme="minorEastAsia" w:cs="宋体"/>
          <w:kern w:val="0"/>
          <w:sz w:val="24"/>
        </w:rPr>
        <w:lastRenderedPageBreak/>
        <w:t>入验证错误处理、业务逻辑等。</w:t>
      </w:r>
    </w:p>
    <w:p w14:paraId="6B6DDFCE" w14:textId="03E8E7F1"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sidR="00643F38" w:rsidRPr="005031F0">
        <w:rPr>
          <w:rFonts w:asciiTheme="minorEastAsia" w:eastAsiaTheme="minorEastAsia" w:hAnsiTheme="minorEastAsia" w:cs="宋体"/>
          <w:kern w:val="0"/>
          <w:sz w:val="24"/>
        </w:rPr>
        <w:t>渗透测试方法包括但不局限于：信息收集、端口扫描、公网登录口的口令猜测、远程溢出、本地溢出、脚本测试、目标系统权限获取等。</w:t>
      </w:r>
    </w:p>
    <w:p w14:paraId="712FDEAA" w14:textId="78D371C0"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sidR="00643F38" w:rsidRPr="005031F0">
        <w:rPr>
          <w:rFonts w:asciiTheme="minorEastAsia" w:eastAsiaTheme="minorEastAsia" w:hAnsiTheme="minorEastAsia" w:cs="宋体"/>
          <w:kern w:val="0"/>
          <w:sz w:val="24"/>
        </w:rPr>
        <w:t>渗透服务后需提交渗透测试报告，需对业务系统中存在的安全隐患以及专业的漏洞风险提供专业的处置建议，报告内容应包括但不限于：信息系统整体安全状况综述、具体发现的漏洞、漏洞产生的原理、漏洞危险程度、测试用例、修复建议等。</w:t>
      </w:r>
    </w:p>
    <w:p w14:paraId="547E1146" w14:textId="700D5A6D"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sidR="00643F38" w:rsidRPr="005031F0">
        <w:rPr>
          <w:rFonts w:asciiTheme="minorEastAsia" w:eastAsiaTheme="minorEastAsia" w:hAnsiTheme="minorEastAsia" w:cs="宋体"/>
          <w:kern w:val="0"/>
          <w:sz w:val="24"/>
        </w:rPr>
        <w:t>所使用漏洞扫描工具支持检测的漏洞数大于300000条，兼容CVE、CNCVE、CNNVD、CNVD、</w:t>
      </w:r>
      <w:proofErr w:type="spellStart"/>
      <w:r w:rsidR="00643F38" w:rsidRPr="005031F0">
        <w:rPr>
          <w:rFonts w:asciiTheme="minorEastAsia" w:eastAsiaTheme="minorEastAsia" w:hAnsiTheme="minorEastAsia" w:cs="宋体"/>
          <w:kern w:val="0"/>
          <w:sz w:val="24"/>
        </w:rPr>
        <w:t>Bugtraq</w:t>
      </w:r>
      <w:proofErr w:type="spellEnd"/>
      <w:r w:rsidR="00643F38" w:rsidRPr="005031F0">
        <w:rPr>
          <w:rFonts w:asciiTheme="minorEastAsia" w:eastAsiaTheme="minorEastAsia" w:hAnsiTheme="minorEastAsia" w:cs="宋体"/>
          <w:kern w:val="0"/>
          <w:sz w:val="24"/>
        </w:rPr>
        <w:t>等主流标准。（须提供证明截图）</w:t>
      </w:r>
    </w:p>
    <w:p w14:paraId="03698B77" w14:textId="47FDDC39"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sidR="00643F38" w:rsidRPr="005031F0">
        <w:rPr>
          <w:rFonts w:asciiTheme="minorEastAsia" w:eastAsiaTheme="minorEastAsia" w:hAnsiTheme="minorEastAsia" w:cs="宋体"/>
          <w:kern w:val="0"/>
          <w:sz w:val="24"/>
        </w:rPr>
        <w:t>所使用漏洞扫描工具支持对C/C++/Python/Java/</w:t>
      </w:r>
      <w:proofErr w:type="spellStart"/>
      <w:r w:rsidR="00643F38" w:rsidRPr="005031F0">
        <w:rPr>
          <w:rFonts w:asciiTheme="minorEastAsia" w:eastAsiaTheme="minorEastAsia" w:hAnsiTheme="minorEastAsia" w:cs="宋体"/>
          <w:kern w:val="0"/>
          <w:sz w:val="24"/>
        </w:rPr>
        <w:t>Php</w:t>
      </w:r>
      <w:proofErr w:type="spellEnd"/>
      <w:r w:rsidR="00643F38" w:rsidRPr="005031F0">
        <w:rPr>
          <w:rFonts w:asciiTheme="minorEastAsia" w:eastAsiaTheme="minorEastAsia" w:hAnsiTheme="minorEastAsia" w:cs="宋体"/>
          <w:kern w:val="0"/>
          <w:sz w:val="24"/>
        </w:rPr>
        <w:t>/go等语言的代码解析，语言的词法、语法分析；内置缺陷模板和缺陷规则，并支持自定义。（须提供功能截图）</w:t>
      </w:r>
    </w:p>
    <w:p w14:paraId="3F2A2FF1" w14:textId="668A7F2D" w:rsidR="00CB20E0"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r w:rsidR="00643F38" w:rsidRPr="005031F0">
        <w:rPr>
          <w:rFonts w:asciiTheme="minorEastAsia" w:eastAsiaTheme="minorEastAsia" w:hAnsiTheme="minorEastAsia" w:cs="宋体"/>
          <w:kern w:val="0"/>
          <w:sz w:val="24"/>
        </w:rPr>
        <w:t>供应商为本项目提供一名渗透测试技术人员，具有注册渗透测试工程师（CISP-PTE）、CNVD原创漏洞证明。（提供有效证书/证明材料复印件）</w:t>
      </w:r>
      <w:bookmarkStart w:id="7" w:name="_Toc528615216"/>
      <w:r w:rsidR="003358B6" w:rsidRPr="005031F0">
        <w:rPr>
          <w:rFonts w:asciiTheme="minorEastAsia" w:eastAsiaTheme="minorEastAsia" w:hAnsiTheme="minorEastAsia" w:cs="宋体"/>
          <w:kern w:val="0"/>
          <w:sz w:val="24"/>
        </w:rPr>
        <w:t xml:space="preserve"> </w:t>
      </w:r>
      <w:bookmarkEnd w:id="0"/>
      <w:bookmarkEnd w:id="1"/>
      <w:bookmarkEnd w:id="2"/>
      <w:bookmarkEnd w:id="3"/>
      <w:bookmarkEnd w:id="4"/>
      <w:bookmarkEnd w:id="5"/>
      <w:bookmarkEnd w:id="6"/>
      <w:bookmarkEnd w:id="7"/>
    </w:p>
    <w:sectPr w:rsidR="00CB20E0" w:rsidRPr="005031F0">
      <w:footerReference w:type="default" r:id="rId9"/>
      <w:headerReference w:type="first" r:id="rId10"/>
      <w:footerReference w:type="first" r:id="rId11"/>
      <w:pgSz w:w="11906" w:h="16838"/>
      <w:pgMar w:top="1440" w:right="1474" w:bottom="1440" w:left="1474"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1897" w14:textId="77777777" w:rsidR="0045077B" w:rsidRDefault="0045077B">
      <w:r>
        <w:separator/>
      </w:r>
    </w:p>
  </w:endnote>
  <w:endnote w:type="continuationSeparator" w:id="0">
    <w:p w14:paraId="2F707A97" w14:textId="77777777" w:rsidR="0045077B" w:rsidRDefault="0045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BC3D" w14:textId="38FD7B76" w:rsidR="00CB20E0" w:rsidRDefault="003358B6">
    <w:pPr>
      <w:pStyle w:val="ad"/>
      <w:jc w:val="center"/>
      <w:rPr>
        <w:color w:val="000000" w:themeColor="text1"/>
      </w:rPr>
    </w:pPr>
    <w:r>
      <w:rPr>
        <w:color w:val="000000" w:themeColor="text1"/>
        <w:lang w:val="zh-CN"/>
      </w:rPr>
      <w:t xml:space="preserve"> </w:t>
    </w:r>
    <w:r>
      <w:rPr>
        <w:color w:val="000000" w:themeColor="text1"/>
      </w:rPr>
      <w:fldChar w:fldCharType="begin"/>
    </w:r>
    <w:r>
      <w:rPr>
        <w:color w:val="000000" w:themeColor="text1"/>
      </w:rPr>
      <w:instrText>PAGE  \* Arabic  \* MERGEFORMAT</w:instrText>
    </w:r>
    <w:r>
      <w:rPr>
        <w:color w:val="000000" w:themeColor="text1"/>
      </w:rPr>
      <w:fldChar w:fldCharType="separate"/>
    </w:r>
    <w:r w:rsidR="00444032" w:rsidRPr="00444032">
      <w:rPr>
        <w:noProof/>
        <w:color w:val="000000" w:themeColor="text1"/>
        <w:lang w:val="zh-CN"/>
      </w:rPr>
      <w:t>6</w:t>
    </w:r>
    <w:r>
      <w:rPr>
        <w:color w:val="000000" w:themeColor="text1"/>
      </w:rPr>
      <w:fldChar w:fldCharType="end"/>
    </w:r>
    <w:r>
      <w:rPr>
        <w:color w:val="000000" w:themeColor="text1"/>
        <w:lang w:val="zh-CN"/>
      </w:rPr>
      <w:t xml:space="preserve"> / </w:t>
    </w:r>
    <w:r>
      <w:rPr>
        <w:color w:val="000000" w:themeColor="text1"/>
      </w:rPr>
      <w:fldChar w:fldCharType="begin"/>
    </w:r>
    <w:r>
      <w:rPr>
        <w:color w:val="000000" w:themeColor="text1"/>
      </w:rPr>
      <w:instrText>NUMPAGES  \* Arabic  \* MERGEFORMAT</w:instrText>
    </w:r>
    <w:r>
      <w:rPr>
        <w:color w:val="000000" w:themeColor="text1"/>
      </w:rPr>
      <w:fldChar w:fldCharType="separate"/>
    </w:r>
    <w:r w:rsidR="00444032" w:rsidRPr="00444032">
      <w:rPr>
        <w:noProof/>
        <w:color w:val="000000" w:themeColor="text1"/>
        <w:lang w:val="zh-CN"/>
      </w:rPr>
      <w:t>10</w:t>
    </w:r>
    <w:r>
      <w:rPr>
        <w:color w:val="000000" w:themeColor="text1"/>
      </w:rPr>
      <w:fldChar w:fldCharType="end"/>
    </w:r>
  </w:p>
  <w:p w14:paraId="52D062A6" w14:textId="77777777" w:rsidR="00CB20E0" w:rsidRDefault="00CB20E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8119" w14:textId="77777777" w:rsidR="00CB20E0" w:rsidRDefault="00CB20E0">
    <w:pPr>
      <w:pStyle w:val="ad"/>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5CA0" w14:textId="77777777" w:rsidR="0045077B" w:rsidRDefault="0045077B">
      <w:r>
        <w:separator/>
      </w:r>
    </w:p>
  </w:footnote>
  <w:footnote w:type="continuationSeparator" w:id="0">
    <w:p w14:paraId="151DF258" w14:textId="77777777" w:rsidR="0045077B" w:rsidRDefault="0045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BCE8" w14:textId="77777777" w:rsidR="00CB20E0" w:rsidRDefault="00CB20E0">
    <w:pPr>
      <w:pStyle w:val="af"/>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19F11"/>
    <w:multiLevelType w:val="singleLevel"/>
    <w:tmpl w:val="91819F11"/>
    <w:lvl w:ilvl="0">
      <w:start w:val="1"/>
      <w:numFmt w:val="decimal"/>
      <w:lvlText w:val="(%1)"/>
      <w:lvlJc w:val="left"/>
      <w:pPr>
        <w:ind w:left="425" w:hanging="425"/>
      </w:pPr>
      <w:rPr>
        <w:rFonts w:hint="default"/>
      </w:rPr>
    </w:lvl>
  </w:abstractNum>
  <w:abstractNum w:abstractNumId="1" w15:restartNumberingAfterBreak="0">
    <w:nsid w:val="9EBEB219"/>
    <w:multiLevelType w:val="singleLevel"/>
    <w:tmpl w:val="9EBEB219"/>
    <w:lvl w:ilvl="0">
      <w:start w:val="1"/>
      <w:numFmt w:val="decimal"/>
      <w:lvlText w:val="(%1)"/>
      <w:lvlJc w:val="left"/>
      <w:pPr>
        <w:ind w:left="425" w:hanging="425"/>
      </w:pPr>
      <w:rPr>
        <w:rFonts w:hint="default"/>
      </w:rPr>
    </w:lvl>
  </w:abstractNum>
  <w:abstractNum w:abstractNumId="2" w15:restartNumberingAfterBreak="0">
    <w:nsid w:val="AD442219"/>
    <w:multiLevelType w:val="singleLevel"/>
    <w:tmpl w:val="AD442219"/>
    <w:lvl w:ilvl="0">
      <w:start w:val="1"/>
      <w:numFmt w:val="decimal"/>
      <w:lvlText w:val="(%1)"/>
      <w:lvlJc w:val="left"/>
      <w:pPr>
        <w:ind w:left="425" w:hanging="425"/>
      </w:pPr>
      <w:rPr>
        <w:rFonts w:hint="default"/>
      </w:rPr>
    </w:lvl>
  </w:abstractNum>
  <w:abstractNum w:abstractNumId="3" w15:restartNumberingAfterBreak="0">
    <w:nsid w:val="B57D466A"/>
    <w:multiLevelType w:val="singleLevel"/>
    <w:tmpl w:val="B57D466A"/>
    <w:lvl w:ilvl="0">
      <w:start w:val="3"/>
      <w:numFmt w:val="decimal"/>
      <w:suff w:val="nothing"/>
      <w:lvlText w:val="（%1）"/>
      <w:lvlJc w:val="left"/>
    </w:lvl>
  </w:abstractNum>
  <w:abstractNum w:abstractNumId="4" w15:restartNumberingAfterBreak="0">
    <w:nsid w:val="D7AE6599"/>
    <w:multiLevelType w:val="singleLevel"/>
    <w:tmpl w:val="D7AE6599"/>
    <w:lvl w:ilvl="0">
      <w:start w:val="1"/>
      <w:numFmt w:val="decimal"/>
      <w:lvlText w:val="(%1)"/>
      <w:lvlJc w:val="left"/>
      <w:pPr>
        <w:ind w:left="425" w:hanging="425"/>
      </w:pPr>
      <w:rPr>
        <w:rFonts w:hint="default"/>
      </w:rPr>
    </w:lvl>
  </w:abstractNum>
  <w:abstractNum w:abstractNumId="5" w15:restartNumberingAfterBreak="0">
    <w:nsid w:val="0B659D3E"/>
    <w:multiLevelType w:val="singleLevel"/>
    <w:tmpl w:val="0B659D3E"/>
    <w:lvl w:ilvl="0">
      <w:start w:val="1"/>
      <w:numFmt w:val="decimal"/>
      <w:lvlText w:val="(%1)"/>
      <w:lvlJc w:val="left"/>
      <w:pPr>
        <w:ind w:left="425" w:hanging="425"/>
      </w:pPr>
      <w:rPr>
        <w:rFonts w:hint="default"/>
      </w:rPr>
    </w:lvl>
  </w:abstractNum>
  <w:abstractNum w:abstractNumId="6" w15:restartNumberingAfterBreak="0">
    <w:nsid w:val="0C715B6B"/>
    <w:multiLevelType w:val="singleLevel"/>
    <w:tmpl w:val="0C715B6B"/>
    <w:lvl w:ilvl="0">
      <w:start w:val="1"/>
      <w:numFmt w:val="decimal"/>
      <w:lvlText w:val="(%1)"/>
      <w:lvlJc w:val="left"/>
      <w:pPr>
        <w:ind w:left="425" w:hanging="425"/>
      </w:pPr>
      <w:rPr>
        <w:rFonts w:hint="default"/>
      </w:rPr>
    </w:lvl>
  </w:abstractNum>
  <w:abstractNum w:abstractNumId="7" w15:restartNumberingAfterBreak="0">
    <w:nsid w:val="1E123F77"/>
    <w:multiLevelType w:val="multilevel"/>
    <w:tmpl w:val="1E123F77"/>
    <w:lvl w:ilvl="0">
      <w:start w:val="1"/>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89" w:hanging="420"/>
      </w:pPr>
      <w:rPr>
        <w:rFonts w:ascii="Times New Roman" w:eastAsia="Times New Roman" w:hAnsi="Times New Roman" w:cs="Times New Roman" w:hint="default"/>
        <w:w w:val="99"/>
        <w:sz w:val="24"/>
        <w:szCs w:val="24"/>
      </w:rPr>
    </w:lvl>
    <w:lvl w:ilvl="4">
      <w:numFmt w:val="bullet"/>
      <w:lvlText w:val="•"/>
      <w:lvlJc w:val="left"/>
      <w:pPr>
        <w:ind w:left="3688" w:hanging="420"/>
      </w:pPr>
      <w:rPr>
        <w:rFonts w:hint="default"/>
      </w:rPr>
    </w:lvl>
    <w:lvl w:ilvl="5">
      <w:numFmt w:val="bullet"/>
      <w:lvlText w:val="•"/>
      <w:lvlJc w:val="left"/>
      <w:pPr>
        <w:ind w:left="4591" w:hanging="420"/>
      </w:pPr>
      <w:rPr>
        <w:rFonts w:hint="default"/>
      </w:rPr>
    </w:lvl>
    <w:lvl w:ilvl="6">
      <w:numFmt w:val="bullet"/>
      <w:lvlText w:val="•"/>
      <w:lvlJc w:val="left"/>
      <w:pPr>
        <w:ind w:left="5494" w:hanging="420"/>
      </w:pPr>
      <w:rPr>
        <w:rFonts w:hint="default"/>
      </w:rPr>
    </w:lvl>
    <w:lvl w:ilvl="7">
      <w:numFmt w:val="bullet"/>
      <w:lvlText w:val="•"/>
      <w:lvlJc w:val="left"/>
      <w:pPr>
        <w:ind w:left="6397" w:hanging="420"/>
      </w:pPr>
      <w:rPr>
        <w:rFonts w:hint="default"/>
      </w:rPr>
    </w:lvl>
    <w:lvl w:ilvl="8">
      <w:numFmt w:val="bullet"/>
      <w:lvlText w:val="•"/>
      <w:lvlJc w:val="left"/>
      <w:pPr>
        <w:ind w:left="7300" w:hanging="420"/>
      </w:pPr>
      <w:rPr>
        <w:rFonts w:hint="default"/>
      </w:rPr>
    </w:lvl>
  </w:abstractNum>
  <w:abstractNum w:abstractNumId="8" w15:restartNumberingAfterBreak="0">
    <w:nsid w:val="375C7555"/>
    <w:multiLevelType w:val="multilevel"/>
    <w:tmpl w:val="375C7555"/>
    <w:lvl w:ilvl="0">
      <w:start w:val="2"/>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281" w:hanging="665"/>
      </w:pPr>
      <w:rPr>
        <w:rFonts w:hint="default"/>
      </w:rPr>
    </w:lvl>
    <w:lvl w:ilvl="4">
      <w:numFmt w:val="bullet"/>
      <w:lvlText w:val="•"/>
      <w:lvlJc w:val="left"/>
      <w:pPr>
        <w:ind w:left="4102" w:hanging="665"/>
      </w:pPr>
      <w:rPr>
        <w:rFonts w:hint="default"/>
      </w:rPr>
    </w:lvl>
    <w:lvl w:ilvl="5">
      <w:numFmt w:val="bullet"/>
      <w:lvlText w:val="•"/>
      <w:lvlJc w:val="left"/>
      <w:pPr>
        <w:ind w:left="4923" w:hanging="665"/>
      </w:pPr>
      <w:rPr>
        <w:rFonts w:hint="default"/>
      </w:rPr>
    </w:lvl>
    <w:lvl w:ilvl="6">
      <w:numFmt w:val="bullet"/>
      <w:lvlText w:val="•"/>
      <w:lvlJc w:val="left"/>
      <w:pPr>
        <w:ind w:left="5743" w:hanging="665"/>
      </w:pPr>
      <w:rPr>
        <w:rFonts w:hint="default"/>
      </w:rPr>
    </w:lvl>
    <w:lvl w:ilvl="7">
      <w:numFmt w:val="bullet"/>
      <w:lvlText w:val="•"/>
      <w:lvlJc w:val="left"/>
      <w:pPr>
        <w:ind w:left="6564" w:hanging="665"/>
      </w:pPr>
      <w:rPr>
        <w:rFonts w:hint="default"/>
      </w:rPr>
    </w:lvl>
    <w:lvl w:ilvl="8">
      <w:numFmt w:val="bullet"/>
      <w:lvlText w:val="•"/>
      <w:lvlJc w:val="left"/>
      <w:pPr>
        <w:ind w:left="7385" w:hanging="665"/>
      </w:pPr>
      <w:rPr>
        <w:rFonts w:hint="default"/>
      </w:rPr>
    </w:lvl>
  </w:abstractNum>
  <w:abstractNum w:abstractNumId="9" w15:restartNumberingAfterBreak="0">
    <w:nsid w:val="51EC7FCC"/>
    <w:multiLevelType w:val="multilevel"/>
    <w:tmpl w:val="51EC7FCC"/>
    <w:lvl w:ilvl="0">
      <w:start w:val="2"/>
      <w:numFmt w:val="decimal"/>
      <w:lvlText w:val="%1"/>
      <w:lvlJc w:val="left"/>
      <w:pPr>
        <w:ind w:left="634" w:hanging="485"/>
      </w:pPr>
      <w:rPr>
        <w:rFonts w:hint="default"/>
      </w:rPr>
    </w:lvl>
    <w:lvl w:ilvl="1">
      <w:numFmt w:val="none"/>
      <w:lvlText w:val=""/>
      <w:lvlJc w:val="left"/>
      <w:pPr>
        <w:tabs>
          <w:tab w:val="left" w:pos="360"/>
        </w:tabs>
      </w:pPr>
    </w:lvl>
    <w:lvl w:ilvl="2">
      <w:numFmt w:val="bullet"/>
      <w:lvlText w:val="•"/>
      <w:lvlJc w:val="left"/>
      <w:pPr>
        <w:ind w:left="2317" w:hanging="485"/>
      </w:pPr>
      <w:rPr>
        <w:rFonts w:hint="default"/>
      </w:rPr>
    </w:lvl>
    <w:lvl w:ilvl="3">
      <w:numFmt w:val="bullet"/>
      <w:lvlText w:val="•"/>
      <w:lvlJc w:val="left"/>
      <w:pPr>
        <w:ind w:left="3155" w:hanging="485"/>
      </w:pPr>
      <w:rPr>
        <w:rFonts w:hint="default"/>
      </w:rPr>
    </w:lvl>
    <w:lvl w:ilvl="4">
      <w:numFmt w:val="bullet"/>
      <w:lvlText w:val="•"/>
      <w:lvlJc w:val="left"/>
      <w:pPr>
        <w:ind w:left="3994" w:hanging="485"/>
      </w:pPr>
      <w:rPr>
        <w:rFonts w:hint="default"/>
      </w:rPr>
    </w:lvl>
    <w:lvl w:ilvl="5">
      <w:numFmt w:val="bullet"/>
      <w:lvlText w:val="•"/>
      <w:lvlJc w:val="left"/>
      <w:pPr>
        <w:ind w:left="4833" w:hanging="485"/>
      </w:pPr>
      <w:rPr>
        <w:rFonts w:hint="default"/>
      </w:rPr>
    </w:lvl>
    <w:lvl w:ilvl="6">
      <w:numFmt w:val="bullet"/>
      <w:lvlText w:val="•"/>
      <w:lvlJc w:val="left"/>
      <w:pPr>
        <w:ind w:left="5671" w:hanging="485"/>
      </w:pPr>
      <w:rPr>
        <w:rFonts w:hint="default"/>
      </w:rPr>
    </w:lvl>
    <w:lvl w:ilvl="7">
      <w:numFmt w:val="bullet"/>
      <w:lvlText w:val="•"/>
      <w:lvlJc w:val="left"/>
      <w:pPr>
        <w:ind w:left="6510" w:hanging="485"/>
      </w:pPr>
      <w:rPr>
        <w:rFonts w:hint="default"/>
      </w:rPr>
    </w:lvl>
    <w:lvl w:ilvl="8">
      <w:numFmt w:val="bullet"/>
      <w:lvlText w:val="•"/>
      <w:lvlJc w:val="left"/>
      <w:pPr>
        <w:ind w:left="7349" w:hanging="485"/>
      </w:pPr>
      <w:rPr>
        <w:rFonts w:hint="default"/>
      </w:rPr>
    </w:lvl>
  </w:abstractNum>
  <w:num w:numId="1" w16cid:durableId="1148130001">
    <w:abstractNumId w:val="5"/>
  </w:num>
  <w:num w:numId="2" w16cid:durableId="504516835">
    <w:abstractNumId w:val="4"/>
  </w:num>
  <w:num w:numId="3" w16cid:durableId="1543856765">
    <w:abstractNumId w:val="7"/>
  </w:num>
  <w:num w:numId="4" w16cid:durableId="871843108">
    <w:abstractNumId w:val="6"/>
  </w:num>
  <w:num w:numId="5" w16cid:durableId="1778602848">
    <w:abstractNumId w:val="2"/>
  </w:num>
  <w:num w:numId="6" w16cid:durableId="1623684998">
    <w:abstractNumId w:val="0"/>
  </w:num>
  <w:num w:numId="7" w16cid:durableId="950626959">
    <w:abstractNumId w:val="1"/>
  </w:num>
  <w:num w:numId="8" w16cid:durableId="777681435">
    <w:abstractNumId w:val="9"/>
  </w:num>
  <w:num w:numId="9" w16cid:durableId="453719891">
    <w:abstractNumId w:val="3"/>
  </w:num>
  <w:num w:numId="10" w16cid:durableId="1657684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686257"/>
    <w:rsid w:val="00003899"/>
    <w:rsid w:val="00011ECD"/>
    <w:rsid w:val="00020546"/>
    <w:rsid w:val="00023E40"/>
    <w:rsid w:val="00042765"/>
    <w:rsid w:val="00043731"/>
    <w:rsid w:val="00065876"/>
    <w:rsid w:val="000721E8"/>
    <w:rsid w:val="00086F85"/>
    <w:rsid w:val="00094910"/>
    <w:rsid w:val="000C4CB1"/>
    <w:rsid w:val="000E4CCE"/>
    <w:rsid w:val="000F5B4B"/>
    <w:rsid w:val="00115AB6"/>
    <w:rsid w:val="0013299E"/>
    <w:rsid w:val="001333A5"/>
    <w:rsid w:val="001352DA"/>
    <w:rsid w:val="00156909"/>
    <w:rsid w:val="00174A06"/>
    <w:rsid w:val="00175F6C"/>
    <w:rsid w:val="00183D4C"/>
    <w:rsid w:val="00185A7F"/>
    <w:rsid w:val="001963C6"/>
    <w:rsid w:val="001A1744"/>
    <w:rsid w:val="001A45C5"/>
    <w:rsid w:val="001B21B3"/>
    <w:rsid w:val="001D7623"/>
    <w:rsid w:val="00206FD2"/>
    <w:rsid w:val="00227AAF"/>
    <w:rsid w:val="00236FD8"/>
    <w:rsid w:val="0026782A"/>
    <w:rsid w:val="0028463D"/>
    <w:rsid w:val="0029024A"/>
    <w:rsid w:val="00296A8E"/>
    <w:rsid w:val="002A3A19"/>
    <w:rsid w:val="002A467A"/>
    <w:rsid w:val="002B1276"/>
    <w:rsid w:val="002B1B9E"/>
    <w:rsid w:val="002C6676"/>
    <w:rsid w:val="002C68AD"/>
    <w:rsid w:val="002D1AFB"/>
    <w:rsid w:val="002D3244"/>
    <w:rsid w:val="002D5F52"/>
    <w:rsid w:val="002D744E"/>
    <w:rsid w:val="002E4711"/>
    <w:rsid w:val="002E5602"/>
    <w:rsid w:val="002F012A"/>
    <w:rsid w:val="00303099"/>
    <w:rsid w:val="003206CB"/>
    <w:rsid w:val="0032211A"/>
    <w:rsid w:val="003233AE"/>
    <w:rsid w:val="00326C4F"/>
    <w:rsid w:val="003358B6"/>
    <w:rsid w:val="0034691D"/>
    <w:rsid w:val="00371365"/>
    <w:rsid w:val="003824F4"/>
    <w:rsid w:val="003941A6"/>
    <w:rsid w:val="003A0022"/>
    <w:rsid w:val="003A258C"/>
    <w:rsid w:val="003D0D92"/>
    <w:rsid w:val="003E043E"/>
    <w:rsid w:val="003E7822"/>
    <w:rsid w:val="003F0EA0"/>
    <w:rsid w:val="0040612D"/>
    <w:rsid w:val="004131F7"/>
    <w:rsid w:val="004264C8"/>
    <w:rsid w:val="00440E34"/>
    <w:rsid w:val="004413B2"/>
    <w:rsid w:val="00442C47"/>
    <w:rsid w:val="00444032"/>
    <w:rsid w:val="0045077B"/>
    <w:rsid w:val="00452A5C"/>
    <w:rsid w:val="00465D47"/>
    <w:rsid w:val="00487345"/>
    <w:rsid w:val="00497C20"/>
    <w:rsid w:val="004B1F95"/>
    <w:rsid w:val="004C6314"/>
    <w:rsid w:val="004D3F4D"/>
    <w:rsid w:val="004E142D"/>
    <w:rsid w:val="004F41B5"/>
    <w:rsid w:val="005031F0"/>
    <w:rsid w:val="00521BD5"/>
    <w:rsid w:val="00524B53"/>
    <w:rsid w:val="005341A7"/>
    <w:rsid w:val="0053469B"/>
    <w:rsid w:val="005362E9"/>
    <w:rsid w:val="0054006E"/>
    <w:rsid w:val="005408A9"/>
    <w:rsid w:val="00543F6A"/>
    <w:rsid w:val="00550700"/>
    <w:rsid w:val="00554555"/>
    <w:rsid w:val="0055455B"/>
    <w:rsid w:val="00556F4C"/>
    <w:rsid w:val="00561E5A"/>
    <w:rsid w:val="0058535F"/>
    <w:rsid w:val="00587713"/>
    <w:rsid w:val="0059090B"/>
    <w:rsid w:val="00594F54"/>
    <w:rsid w:val="005A094A"/>
    <w:rsid w:val="005B38AA"/>
    <w:rsid w:val="005B3D6C"/>
    <w:rsid w:val="005E32D9"/>
    <w:rsid w:val="005E4B99"/>
    <w:rsid w:val="005E4DB6"/>
    <w:rsid w:val="006035A2"/>
    <w:rsid w:val="00622430"/>
    <w:rsid w:val="006351EB"/>
    <w:rsid w:val="00643F38"/>
    <w:rsid w:val="006547DC"/>
    <w:rsid w:val="00660622"/>
    <w:rsid w:val="006669DC"/>
    <w:rsid w:val="006B07AE"/>
    <w:rsid w:val="006B427F"/>
    <w:rsid w:val="006C3490"/>
    <w:rsid w:val="006D12E4"/>
    <w:rsid w:val="006E7D2E"/>
    <w:rsid w:val="006F1366"/>
    <w:rsid w:val="0071026D"/>
    <w:rsid w:val="0071791E"/>
    <w:rsid w:val="007229E5"/>
    <w:rsid w:val="00723114"/>
    <w:rsid w:val="00726A5B"/>
    <w:rsid w:val="00734713"/>
    <w:rsid w:val="00744FE0"/>
    <w:rsid w:val="0074550A"/>
    <w:rsid w:val="007562B9"/>
    <w:rsid w:val="007570B1"/>
    <w:rsid w:val="0076236E"/>
    <w:rsid w:val="007719B5"/>
    <w:rsid w:val="00771B84"/>
    <w:rsid w:val="00773F97"/>
    <w:rsid w:val="007A59B9"/>
    <w:rsid w:val="007A7A58"/>
    <w:rsid w:val="007C50E6"/>
    <w:rsid w:val="007C5C98"/>
    <w:rsid w:val="007D3F93"/>
    <w:rsid w:val="007D56A7"/>
    <w:rsid w:val="007E52B9"/>
    <w:rsid w:val="007E5A45"/>
    <w:rsid w:val="0081171F"/>
    <w:rsid w:val="00826B45"/>
    <w:rsid w:val="00827D2E"/>
    <w:rsid w:val="00827E56"/>
    <w:rsid w:val="00834756"/>
    <w:rsid w:val="008414BB"/>
    <w:rsid w:val="00860062"/>
    <w:rsid w:val="00871AD5"/>
    <w:rsid w:val="00873704"/>
    <w:rsid w:val="008740DD"/>
    <w:rsid w:val="0087644F"/>
    <w:rsid w:val="00876A21"/>
    <w:rsid w:val="00880EC7"/>
    <w:rsid w:val="00884376"/>
    <w:rsid w:val="0088762D"/>
    <w:rsid w:val="008A7E4C"/>
    <w:rsid w:val="008B13D8"/>
    <w:rsid w:val="008B5A18"/>
    <w:rsid w:val="008B5DD2"/>
    <w:rsid w:val="008C3A42"/>
    <w:rsid w:val="008D4D76"/>
    <w:rsid w:val="008E78BF"/>
    <w:rsid w:val="008F3723"/>
    <w:rsid w:val="00936FDC"/>
    <w:rsid w:val="00944C41"/>
    <w:rsid w:val="00946C8C"/>
    <w:rsid w:val="00950671"/>
    <w:rsid w:val="00964D9A"/>
    <w:rsid w:val="00966544"/>
    <w:rsid w:val="00975A16"/>
    <w:rsid w:val="009A47EF"/>
    <w:rsid w:val="009B5933"/>
    <w:rsid w:val="009C166E"/>
    <w:rsid w:val="009C3350"/>
    <w:rsid w:val="009C4CDF"/>
    <w:rsid w:val="009D37FF"/>
    <w:rsid w:val="009D721D"/>
    <w:rsid w:val="009F6333"/>
    <w:rsid w:val="00A130E4"/>
    <w:rsid w:val="00A22E94"/>
    <w:rsid w:val="00A63450"/>
    <w:rsid w:val="00AA3D15"/>
    <w:rsid w:val="00AA7DE6"/>
    <w:rsid w:val="00AB604F"/>
    <w:rsid w:val="00AC6091"/>
    <w:rsid w:val="00AC631F"/>
    <w:rsid w:val="00AE3479"/>
    <w:rsid w:val="00AF68CF"/>
    <w:rsid w:val="00B000D7"/>
    <w:rsid w:val="00B278BB"/>
    <w:rsid w:val="00B51671"/>
    <w:rsid w:val="00B547C7"/>
    <w:rsid w:val="00B724A2"/>
    <w:rsid w:val="00B8643C"/>
    <w:rsid w:val="00B93078"/>
    <w:rsid w:val="00BD2873"/>
    <w:rsid w:val="00BD71E0"/>
    <w:rsid w:val="00BE44BF"/>
    <w:rsid w:val="00BF4D6B"/>
    <w:rsid w:val="00C03B64"/>
    <w:rsid w:val="00C37ED0"/>
    <w:rsid w:val="00C44C1F"/>
    <w:rsid w:val="00C5002E"/>
    <w:rsid w:val="00C65E70"/>
    <w:rsid w:val="00C81D1C"/>
    <w:rsid w:val="00C923EA"/>
    <w:rsid w:val="00CA0A9B"/>
    <w:rsid w:val="00CB20E0"/>
    <w:rsid w:val="00CB39AA"/>
    <w:rsid w:val="00CB4104"/>
    <w:rsid w:val="00CB5517"/>
    <w:rsid w:val="00CB62D0"/>
    <w:rsid w:val="00CC016C"/>
    <w:rsid w:val="00CD6C74"/>
    <w:rsid w:val="00CF03A6"/>
    <w:rsid w:val="00D073BE"/>
    <w:rsid w:val="00D076E9"/>
    <w:rsid w:val="00D15F71"/>
    <w:rsid w:val="00D26AA2"/>
    <w:rsid w:val="00D50CFE"/>
    <w:rsid w:val="00D553BD"/>
    <w:rsid w:val="00D61803"/>
    <w:rsid w:val="00D71DED"/>
    <w:rsid w:val="00D7213B"/>
    <w:rsid w:val="00DA7937"/>
    <w:rsid w:val="00DC5D87"/>
    <w:rsid w:val="00DD3087"/>
    <w:rsid w:val="00DD6EC8"/>
    <w:rsid w:val="00DF7625"/>
    <w:rsid w:val="00E3238C"/>
    <w:rsid w:val="00E32C4F"/>
    <w:rsid w:val="00E35CE2"/>
    <w:rsid w:val="00E47A0C"/>
    <w:rsid w:val="00E5095F"/>
    <w:rsid w:val="00E50DBB"/>
    <w:rsid w:val="00E51C4B"/>
    <w:rsid w:val="00E56D2E"/>
    <w:rsid w:val="00E73719"/>
    <w:rsid w:val="00E73D86"/>
    <w:rsid w:val="00E74C73"/>
    <w:rsid w:val="00EA5856"/>
    <w:rsid w:val="00EB0049"/>
    <w:rsid w:val="00EB304A"/>
    <w:rsid w:val="00EB3CD9"/>
    <w:rsid w:val="00EB650E"/>
    <w:rsid w:val="00ED788F"/>
    <w:rsid w:val="00EE0EBD"/>
    <w:rsid w:val="00EE2663"/>
    <w:rsid w:val="00EE7F1D"/>
    <w:rsid w:val="00EF0D7C"/>
    <w:rsid w:val="00EF5170"/>
    <w:rsid w:val="00F22DC9"/>
    <w:rsid w:val="00F32C00"/>
    <w:rsid w:val="00F5562E"/>
    <w:rsid w:val="00F56017"/>
    <w:rsid w:val="00F709CE"/>
    <w:rsid w:val="00F8683F"/>
    <w:rsid w:val="00F92F65"/>
    <w:rsid w:val="00FA2613"/>
    <w:rsid w:val="00FA5411"/>
    <w:rsid w:val="00FA6268"/>
    <w:rsid w:val="00FB2BF2"/>
    <w:rsid w:val="00FC7658"/>
    <w:rsid w:val="00FD632F"/>
    <w:rsid w:val="00FE517D"/>
    <w:rsid w:val="00FE5577"/>
    <w:rsid w:val="0269113A"/>
    <w:rsid w:val="056C4CC3"/>
    <w:rsid w:val="090209C8"/>
    <w:rsid w:val="0DA02EDA"/>
    <w:rsid w:val="0E454180"/>
    <w:rsid w:val="0EC74BCE"/>
    <w:rsid w:val="119A451B"/>
    <w:rsid w:val="11D22F98"/>
    <w:rsid w:val="14822B7C"/>
    <w:rsid w:val="153F6830"/>
    <w:rsid w:val="15C31155"/>
    <w:rsid w:val="198719DB"/>
    <w:rsid w:val="19940119"/>
    <w:rsid w:val="1D60307B"/>
    <w:rsid w:val="1EB2270C"/>
    <w:rsid w:val="1F084F64"/>
    <w:rsid w:val="23AF6ECD"/>
    <w:rsid w:val="26287504"/>
    <w:rsid w:val="26565079"/>
    <w:rsid w:val="2714354F"/>
    <w:rsid w:val="28961EDD"/>
    <w:rsid w:val="29243689"/>
    <w:rsid w:val="2B106EE5"/>
    <w:rsid w:val="2D320262"/>
    <w:rsid w:val="35FF5B32"/>
    <w:rsid w:val="374315A3"/>
    <w:rsid w:val="38163607"/>
    <w:rsid w:val="3A6A767E"/>
    <w:rsid w:val="3A784DCC"/>
    <w:rsid w:val="3AD872C1"/>
    <w:rsid w:val="3C1A62EA"/>
    <w:rsid w:val="3CCF1818"/>
    <w:rsid w:val="400137E0"/>
    <w:rsid w:val="40FC3E39"/>
    <w:rsid w:val="43FB24B8"/>
    <w:rsid w:val="44E13AD5"/>
    <w:rsid w:val="45FA5968"/>
    <w:rsid w:val="479A5563"/>
    <w:rsid w:val="479D6F97"/>
    <w:rsid w:val="49361490"/>
    <w:rsid w:val="49F20ED9"/>
    <w:rsid w:val="4DB8298A"/>
    <w:rsid w:val="4EFA34E9"/>
    <w:rsid w:val="55C520A0"/>
    <w:rsid w:val="56F724AF"/>
    <w:rsid w:val="570D50BD"/>
    <w:rsid w:val="58DA0AB1"/>
    <w:rsid w:val="58DA3C66"/>
    <w:rsid w:val="58DE19A6"/>
    <w:rsid w:val="5C330B37"/>
    <w:rsid w:val="5D007E6A"/>
    <w:rsid w:val="5D686257"/>
    <w:rsid w:val="60B820A8"/>
    <w:rsid w:val="61232B77"/>
    <w:rsid w:val="615634EE"/>
    <w:rsid w:val="62440E82"/>
    <w:rsid w:val="624A7F23"/>
    <w:rsid w:val="628C3ED3"/>
    <w:rsid w:val="62E95493"/>
    <w:rsid w:val="631955A0"/>
    <w:rsid w:val="66601F63"/>
    <w:rsid w:val="6A990DF4"/>
    <w:rsid w:val="6DE447CA"/>
    <w:rsid w:val="77B24061"/>
    <w:rsid w:val="78597EA4"/>
    <w:rsid w:val="78CD7EC7"/>
    <w:rsid w:val="7B4A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CA1E9"/>
  <w15:docId w15:val="{A6D9A6FA-E141-4D49-94D1-14E034C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kern w:val="0"/>
      <w:sz w:val="20"/>
    </w:rPr>
  </w:style>
  <w:style w:type="paragraph" w:styleId="TOC7">
    <w:name w:val="toc 7"/>
    <w:basedOn w:val="a"/>
    <w:next w:val="a"/>
    <w:pPr>
      <w:ind w:left="1260"/>
    </w:pPr>
  </w:style>
  <w:style w:type="paragraph" w:styleId="a4">
    <w:name w:val="Normal Indent"/>
    <w:basedOn w:val="a"/>
    <w:link w:val="a5"/>
    <w:qFormat/>
    <w:pPr>
      <w:ind w:firstLineChars="200" w:firstLine="420"/>
    </w:pPr>
  </w:style>
  <w:style w:type="paragraph" w:styleId="a6">
    <w:name w:val="Document Map"/>
    <w:basedOn w:val="a"/>
    <w:link w:val="a7"/>
    <w:qFormat/>
    <w:rPr>
      <w:rFonts w:ascii="宋体"/>
      <w:sz w:val="24"/>
    </w:rPr>
  </w:style>
  <w:style w:type="paragraph" w:styleId="a8">
    <w:name w:val="annotation text"/>
    <w:basedOn w:val="a"/>
    <w:link w:val="a9"/>
    <w:pPr>
      <w:jc w:val="left"/>
    </w:pPr>
  </w:style>
  <w:style w:type="paragraph" w:styleId="aa">
    <w:name w:val="Body Text Indent"/>
    <w:basedOn w:val="a"/>
    <w:qFormat/>
    <w:pPr>
      <w:ind w:firstLine="630"/>
    </w:pPr>
    <w:rPr>
      <w:sz w:val="32"/>
      <w:szCs w:val="20"/>
    </w:rPr>
  </w:style>
  <w:style w:type="paragraph" w:styleId="TOC5">
    <w:name w:val="toc 5"/>
    <w:basedOn w:val="a"/>
    <w:next w:val="a"/>
    <w:pPr>
      <w:ind w:left="840"/>
    </w:pPr>
  </w:style>
  <w:style w:type="paragraph" w:styleId="TOC3">
    <w:name w:val="toc 3"/>
    <w:basedOn w:val="a"/>
    <w:next w:val="a"/>
    <w:pPr>
      <w:ind w:left="420"/>
    </w:pPr>
  </w:style>
  <w:style w:type="paragraph" w:styleId="TOC8">
    <w:name w:val="toc 8"/>
    <w:basedOn w:val="a"/>
    <w:next w:val="a"/>
    <w:pPr>
      <w:ind w:left="1470"/>
    </w:pPr>
  </w:style>
  <w:style w:type="paragraph" w:styleId="20">
    <w:name w:val="Body Text Indent 2"/>
    <w:basedOn w:val="a"/>
    <w:qFormat/>
    <w:pPr>
      <w:spacing w:after="120" w:line="480" w:lineRule="auto"/>
      <w:ind w:leftChars="200" w:left="420"/>
    </w:pPr>
  </w:style>
  <w:style w:type="paragraph" w:styleId="ab">
    <w:name w:val="Balloon Text"/>
    <w:basedOn w:val="a"/>
    <w:link w:val="ac"/>
    <w:qFormat/>
    <w:rPr>
      <w:rFonts w:ascii="宋体"/>
      <w:sz w:val="18"/>
      <w:szCs w:val="18"/>
    </w:rPr>
  </w:style>
  <w:style w:type="paragraph" w:styleId="ad">
    <w:name w:val="footer"/>
    <w:basedOn w:val="a"/>
    <w:link w:val="ae"/>
    <w:uiPriority w:val="99"/>
    <w:qFormat/>
    <w:pPr>
      <w:tabs>
        <w:tab w:val="center" w:pos="4153"/>
        <w:tab w:val="right" w:pos="8306"/>
      </w:tabs>
      <w:snapToGrid w:val="0"/>
      <w:jc w:val="left"/>
    </w:pPr>
    <w:rPr>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style>
  <w:style w:type="paragraph" w:styleId="TOC4">
    <w:name w:val="toc 4"/>
    <w:basedOn w:val="a"/>
    <w:next w:val="a"/>
    <w:pPr>
      <w:ind w:left="630"/>
    </w:pPr>
  </w:style>
  <w:style w:type="paragraph" w:styleId="af1">
    <w:name w:val="Subtitle"/>
    <w:basedOn w:val="a"/>
    <w:next w:val="a"/>
    <w:link w:val="af2"/>
    <w:qFormat/>
    <w:pPr>
      <w:autoSpaceDE w:val="0"/>
      <w:autoSpaceDN w:val="0"/>
      <w:spacing w:before="240" w:after="60" w:line="312" w:lineRule="auto"/>
      <w:jc w:val="center"/>
      <w:outlineLvl w:val="1"/>
    </w:pPr>
    <w:rPr>
      <w:rFonts w:ascii="Cambria" w:hAnsi="Cambria" w:cs="宋体"/>
      <w:b/>
      <w:bCs/>
      <w:kern w:val="28"/>
      <w:sz w:val="32"/>
      <w:szCs w:val="32"/>
      <w:lang w:eastAsia="en-US"/>
    </w:rPr>
  </w:style>
  <w:style w:type="paragraph" w:styleId="TOC6">
    <w:name w:val="toc 6"/>
    <w:basedOn w:val="a"/>
    <w:next w:val="a"/>
    <w:pPr>
      <w:ind w:left="1050"/>
    </w:pPr>
  </w:style>
  <w:style w:type="paragraph" w:styleId="TOC2">
    <w:name w:val="toc 2"/>
    <w:basedOn w:val="a"/>
    <w:next w:val="a"/>
    <w:pPr>
      <w:ind w:left="210"/>
    </w:pPr>
  </w:style>
  <w:style w:type="paragraph" w:styleId="TOC9">
    <w:name w:val="toc 9"/>
    <w:basedOn w:val="a"/>
    <w:next w:val="a"/>
    <w:pPr>
      <w:ind w:left="1680"/>
    </w:pPr>
  </w:style>
  <w:style w:type="paragraph" w:styleId="af3">
    <w:name w:val="Normal (Web)"/>
    <w:basedOn w:val="a"/>
    <w:qFormat/>
    <w:pPr>
      <w:widowControl/>
      <w:spacing w:before="100" w:beforeAutospacing="1" w:after="100" w:afterAutospacing="1"/>
      <w:jc w:val="left"/>
    </w:pPr>
    <w:rPr>
      <w:rFonts w:ascii="宋体" w:hAnsi="宋体"/>
      <w:kern w:val="0"/>
      <w:sz w:val="18"/>
      <w:szCs w:val="18"/>
    </w:rPr>
  </w:style>
  <w:style w:type="paragraph" w:styleId="af4">
    <w:name w:val="Title"/>
    <w:basedOn w:val="a"/>
    <w:next w:val="a"/>
    <w:link w:val="af5"/>
    <w:qFormat/>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8"/>
    <w:next w:val="a8"/>
    <w:link w:val="af7"/>
    <w:semiHidden/>
    <w:unhideWhenUsed/>
    <w:rPr>
      <w:b/>
      <w:bCs/>
    </w:rPr>
  </w:style>
  <w:style w:type="character" w:styleId="af8">
    <w:name w:val="page number"/>
    <w:basedOn w:val="a1"/>
    <w:qFormat/>
  </w:style>
  <w:style w:type="character" w:styleId="af9">
    <w:name w:val="annotation reference"/>
    <w:basedOn w:val="a1"/>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afa">
    <w:name w:val="正文首行缩进两字符"/>
    <w:basedOn w:val="a"/>
    <w:qFormat/>
    <w:pPr>
      <w:spacing w:line="360" w:lineRule="auto"/>
      <w:ind w:firstLineChars="200" w:firstLine="200"/>
    </w:p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11">
    <w:name w:val="列出段落1"/>
    <w:basedOn w:val="a"/>
    <w:qFormat/>
    <w:pPr>
      <w:widowControl/>
      <w:spacing w:before="39" w:after="158" w:line="351" w:lineRule="atLeast"/>
      <w:ind w:firstLine="419"/>
      <w:textAlignment w:val="baseline"/>
    </w:pPr>
    <w:rPr>
      <w:color w:val="000000"/>
      <w:kern w:val="0"/>
      <w:szCs w:val="20"/>
      <w:u w:color="000000"/>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c">
    <w:name w:val="List Paragraph"/>
    <w:basedOn w:val="a"/>
    <w:qFormat/>
    <w:pPr>
      <w:ind w:firstLineChars="200" w:firstLine="420"/>
    </w:pPr>
  </w:style>
  <w:style w:type="character" w:customStyle="1" w:styleId="a7">
    <w:name w:val="文档结构图 字符"/>
    <w:basedOn w:val="a1"/>
    <w:link w:val="a6"/>
    <w:qFormat/>
    <w:rPr>
      <w:rFonts w:ascii="宋体"/>
      <w:kern w:val="2"/>
      <w:sz w:val="24"/>
      <w:szCs w:val="24"/>
    </w:rPr>
  </w:style>
  <w:style w:type="character" w:customStyle="1" w:styleId="ac">
    <w:name w:val="批注框文本 字符"/>
    <w:basedOn w:val="a1"/>
    <w:link w:val="ab"/>
    <w:qFormat/>
    <w:rPr>
      <w:rFonts w:ascii="宋体"/>
      <w:kern w:val="2"/>
      <w:sz w:val="18"/>
      <w:szCs w:val="18"/>
    </w:rPr>
  </w:style>
  <w:style w:type="character" w:customStyle="1" w:styleId="10">
    <w:name w:val="标题 1 字符"/>
    <w:basedOn w:val="a1"/>
    <w:link w:val="1"/>
    <w:uiPriority w:val="99"/>
    <w:rPr>
      <w:b/>
      <w:bCs/>
      <w:kern w:val="44"/>
      <w:sz w:val="44"/>
      <w:szCs w:val="44"/>
    </w:rPr>
  </w:style>
  <w:style w:type="character" w:customStyle="1" w:styleId="af0">
    <w:name w:val="页眉 字符"/>
    <w:basedOn w:val="a1"/>
    <w:link w:val="af"/>
    <w:uiPriority w:val="99"/>
    <w:qFormat/>
    <w:rPr>
      <w:kern w:val="2"/>
      <w:sz w:val="18"/>
    </w:rPr>
  </w:style>
  <w:style w:type="paragraph" w:customStyle="1" w:styleId="13">
    <w:name w:val="修订1"/>
    <w:hidden/>
    <w:uiPriority w:val="99"/>
    <w:semiHidden/>
    <w:rPr>
      <w:kern w:val="2"/>
      <w:sz w:val="21"/>
      <w:szCs w:val="24"/>
    </w:rPr>
  </w:style>
  <w:style w:type="paragraph" w:customStyle="1" w:styleId="afd">
    <w:name w:val="小四正文"/>
    <w:basedOn w:val="a"/>
    <w:next w:val="a"/>
    <w:uiPriority w:val="99"/>
    <w:pPr>
      <w:spacing w:line="360" w:lineRule="auto"/>
      <w:ind w:firstLineChars="200" w:firstLine="200"/>
    </w:pPr>
    <w:rPr>
      <w:rFonts w:ascii="Calibri" w:hAnsi="Calibri"/>
      <w:sz w:val="24"/>
      <w:szCs w:val="28"/>
    </w:rPr>
  </w:style>
  <w:style w:type="character" w:customStyle="1" w:styleId="ae">
    <w:name w:val="页脚 字符"/>
    <w:basedOn w:val="a1"/>
    <w:link w:val="ad"/>
    <w:uiPriority w:val="99"/>
    <w:rPr>
      <w:kern w:val="2"/>
      <w:sz w:val="18"/>
    </w:rPr>
  </w:style>
  <w:style w:type="character" w:customStyle="1" w:styleId="af5">
    <w:name w:val="标题 字符"/>
    <w:basedOn w:val="a1"/>
    <w:link w:val="af4"/>
    <w:rPr>
      <w:rFonts w:asciiTheme="majorHAnsi" w:eastAsiaTheme="majorEastAsia" w:hAnsiTheme="majorHAnsi" w:cstheme="majorBidi"/>
      <w:b/>
      <w:bCs/>
      <w:kern w:val="2"/>
      <w:sz w:val="32"/>
      <w:szCs w:val="32"/>
    </w:rPr>
  </w:style>
  <w:style w:type="character" w:customStyle="1" w:styleId="af2">
    <w:name w:val="副标题 字符"/>
    <w:basedOn w:val="a1"/>
    <w:link w:val="af1"/>
    <w:qFormat/>
    <w:rPr>
      <w:rFonts w:ascii="Cambria" w:hAnsi="Cambria" w:cs="宋体"/>
      <w:b/>
      <w:bCs/>
      <w:kern w:val="28"/>
      <w:sz w:val="32"/>
      <w:szCs w:val="32"/>
      <w:lang w:eastAsia="en-US"/>
    </w:rPr>
  </w:style>
  <w:style w:type="character" w:customStyle="1" w:styleId="a9">
    <w:name w:val="批注文字 字符"/>
    <w:basedOn w:val="a1"/>
    <w:link w:val="a8"/>
    <w:rPr>
      <w:kern w:val="2"/>
      <w:sz w:val="21"/>
      <w:szCs w:val="24"/>
    </w:rPr>
  </w:style>
  <w:style w:type="character" w:customStyle="1" w:styleId="af7">
    <w:name w:val="批注主题 字符"/>
    <w:basedOn w:val="a9"/>
    <w:link w:val="af6"/>
    <w:semiHidden/>
    <w:rPr>
      <w:b/>
      <w:bCs/>
      <w:kern w:val="2"/>
      <w:sz w:val="21"/>
      <w:szCs w:val="24"/>
    </w:rPr>
  </w:style>
  <w:style w:type="character" w:customStyle="1" w:styleId="a5">
    <w:name w:val="正文缩进 字符"/>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C43C54-FF60-4776-8F96-75EFEC62BE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王小丫</dc:creator>
  <cp:lastModifiedBy>jeo</cp:lastModifiedBy>
  <cp:revision>12</cp:revision>
  <cp:lastPrinted>2018-10-31T07:51:00Z</cp:lastPrinted>
  <dcterms:created xsi:type="dcterms:W3CDTF">2024-09-10T00:55:00Z</dcterms:created>
  <dcterms:modified xsi:type="dcterms:W3CDTF">2024-09-10T01:40:00Z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8595BD9B22F94492A35D48B678350777</vt:lpwstr>
  </property>
</Properties>
</file>